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24C3D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0D0E5E3">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90FF8AC">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59FFE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8DE479A">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8855"/>
            </w:tblGrid>
            <w:tr w14:paraId="53B0673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526DA71A">
                  <w:pPr>
                    <w:pStyle w:val="49"/>
                    <w:framePr w:wrap="notBeside" w:vAnchor="page" w:hAnchor="page" w:x="1372" w:y="568"/>
                    <w:ind w:left="420" w:right="624"/>
                    <w:rPr>
                      <w:rFonts w:hint="eastAsia" w:ascii="宋体" w:hAnsi="宋体"/>
                      <w:sz w:val="28"/>
                      <w:szCs w:val="28"/>
                    </w:rPr>
                  </w:pPr>
                </w:p>
              </w:tc>
            </w:tr>
          </w:tbl>
          <w:p w14:paraId="3174697F">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p w14:paraId="4A9A7EB6">
      <w:pPr>
        <w:pStyle w:val="50"/>
        <w:framePr w:w="9639" w:h="624" w:hRule="exact" w:hSpace="181" w:vSpace="181" w:wrap="around" w:hAnchor="page" w:x="1305" w:y="2269"/>
        <w:rPr>
          <w:rFonts w:hint="eastAsia" w:ascii="黑体" w:hAnsi="黑体" w:eastAsia="黑体"/>
          <w:b w:val="0"/>
          <w:bCs w:val="0"/>
          <w:w w:val="100"/>
          <w:sz w:val="48"/>
          <w:szCs w:val="48"/>
        </w:rPr>
      </w:pPr>
      <w:bookmarkStart w:id="2"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2"/>
    <w:p w14:paraId="23FBF52B">
      <w:pPr>
        <w:pStyle w:val="195"/>
        <w:framePr/>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t>XXX</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14:paraId="13F93F6D">
      <w:pPr>
        <w:pStyle w:val="196"/>
        <w:framePr/>
        <w:rPr>
          <w:rFonts w:hint="eastAsia"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5C02F30A">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832BA8B">
      <w:pPr>
        <w:pStyle w:val="50"/>
        <w:framePr w:w="9639" w:h="6976" w:hRule="exact" w:hSpace="0" w:vSpace="0" w:wrap="around" w:hAnchor="page" w:y="6408"/>
        <w:jc w:val="center"/>
        <w:rPr>
          <w:rFonts w:hint="eastAsia" w:ascii="黑体" w:hAnsi="黑体" w:eastAsia="黑体"/>
          <w:b w:val="0"/>
          <w:bCs w:val="0"/>
          <w:w w:val="100"/>
        </w:rPr>
      </w:pPr>
    </w:p>
    <w:p w14:paraId="4D2B669F">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内蒙古优势特色农畜产品品质评价管理技术规范  小米</w:t>
      </w:r>
      <w:r>
        <w:fldChar w:fldCharType="end"/>
      </w:r>
      <w:bookmarkEnd w:id="7"/>
    </w:p>
    <w:p w14:paraId="150CD2FB">
      <w:pPr>
        <w:framePr w:w="9639" w:h="6974" w:hRule="exact" w:wrap="around" w:vAnchor="page" w:hAnchor="page" w:x="1419" w:y="6408" w:anchorLock="1"/>
        <w:ind w:left="-1418"/>
      </w:pPr>
    </w:p>
    <w:p w14:paraId="2806AC45">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fldChar w:fldCharType="separate"/>
      </w:r>
      <w:r>
        <w:rPr>
          <w:rFonts w:hint="eastAsia" w:eastAsia="黑体"/>
          <w:szCs w:val="28"/>
        </w:rPr>
        <w:t>Inner Mongolia Superior Characteristics of Agricultural and Livestock Products Quality Evaluation Technical Specification Millet</w:t>
      </w:r>
      <w:r>
        <w:rPr>
          <w:rFonts w:eastAsia="黑体"/>
          <w:szCs w:val="28"/>
        </w:rPr>
        <w:fldChar w:fldCharType="end"/>
      </w:r>
      <w:bookmarkEnd w:id="8"/>
    </w:p>
    <w:p w14:paraId="230B98AD">
      <w:pPr>
        <w:framePr w:w="9639" w:h="6974" w:hRule="exact" w:wrap="around" w:vAnchor="page" w:hAnchor="page" w:x="1419" w:y="6408" w:anchorLock="1"/>
        <w:spacing w:line="760" w:lineRule="exact"/>
        <w:ind w:left="-1418"/>
      </w:pPr>
    </w:p>
    <w:p w14:paraId="0EECF4E0">
      <w:pPr>
        <w:pStyle w:val="125"/>
        <w:framePr w:w="9639" w:h="6974" w:hRule="exact" w:wrap="around" w:vAnchor="page" w:hAnchor="page" w:x="1419" w:y="6408" w:anchorLock="1"/>
        <w:textAlignment w:val="bottom"/>
        <w:rPr>
          <w:rFonts w:eastAsia="黑体"/>
          <w:szCs w:val="28"/>
        </w:rPr>
      </w:pPr>
    </w:p>
    <w:p w14:paraId="337AE88D">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0D384563">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42CAAA7A">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73FAD70B">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7918C132">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45B89346">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内蒙古标准化协会</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73EFAB93">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12F8D5C">
      <w:pPr>
        <w:pStyle w:val="89"/>
        <w:spacing w:after="360"/>
      </w:pPr>
      <w:bookmarkStart w:id="19" w:name="BookMark2"/>
      <w:r>
        <w:rPr>
          <w:rFonts w:hint="eastAsia"/>
          <w:spacing w:val="320"/>
        </w:rPr>
        <w:t>前</w:t>
      </w:r>
      <w:r>
        <w:rPr>
          <w:rFonts w:hint="eastAsia"/>
        </w:rPr>
        <w:t>言</w:t>
      </w:r>
    </w:p>
    <w:p w14:paraId="7F0C91AE">
      <w:pPr>
        <w:pStyle w:val="56"/>
        <w:ind w:firstLine="420"/>
      </w:pPr>
      <w:r>
        <w:rPr>
          <w:rFonts w:hint="eastAsia"/>
        </w:rPr>
        <w:t>本文件按照GB/T 1.1—2020《标准化工作导则  第1部分：标准化文件的结构和起草规则》的规定起草。</w:t>
      </w:r>
    </w:p>
    <w:p w14:paraId="12AE423F">
      <w:pPr>
        <w:pStyle w:val="56"/>
        <w:ind w:firstLine="420"/>
      </w:pPr>
      <w:r>
        <w:rPr>
          <w:rFonts w:hint="eastAsia"/>
        </w:rPr>
        <w:t>本文件由内蒙古自治区农牧厅提出。</w:t>
      </w:r>
    </w:p>
    <w:p w14:paraId="1B84DC59">
      <w:pPr>
        <w:pStyle w:val="56"/>
        <w:ind w:firstLine="420"/>
      </w:pPr>
      <w:r>
        <w:rPr>
          <w:rFonts w:hint="eastAsia"/>
        </w:rPr>
        <w:t>本文件由内蒙古标准化协会归口。</w:t>
      </w:r>
    </w:p>
    <w:p w14:paraId="29E43325">
      <w:pPr>
        <w:pStyle w:val="56"/>
        <w:ind w:firstLine="420"/>
      </w:pPr>
      <w:r>
        <w:rPr>
          <w:rFonts w:hint="eastAsia"/>
        </w:rPr>
        <w:t>本文件起草单位：内蒙古自治区农牧厅、内蒙古自治区农畜产品质量安全中心、内蒙古自治区农牧业质量安全与检测研究所、通辽市农畜产品质量安全中心。</w:t>
      </w:r>
    </w:p>
    <w:p w14:paraId="3936F231">
      <w:pPr>
        <w:pStyle w:val="56"/>
        <w:ind w:firstLine="420"/>
      </w:pPr>
      <w:r>
        <w:rPr>
          <w:rFonts w:hint="eastAsia"/>
        </w:rPr>
        <w:t>本文件主要起草人：刘佳庆、张欣昕、郝智强、冯国荣、陈欢、邬兴宇、包玉山、乌日罕、孙峰成、张福金、徐大伟、康博洋、邱庆丰、孙立荣、刘浩、刘楠、于海东、刘芳、李国银、莎娜、郭林云、海燕、郭颖。</w:t>
      </w:r>
    </w:p>
    <w:p w14:paraId="49DB6932">
      <w:pPr>
        <w:pStyle w:val="56"/>
        <w:ind w:firstLine="420"/>
      </w:pPr>
    </w:p>
    <w:p w14:paraId="1E12B666">
      <w:pPr>
        <w:pStyle w:val="56"/>
        <w:ind w:firstLine="420"/>
        <w:sectPr>
          <w:headerReference r:id="rId11" w:type="default"/>
          <w:footerReference r:id="rId13" w:type="default"/>
          <w:headerReference r:id="rId12" w:type="even"/>
          <w:footerReference r:id="rId14" w:type="even"/>
          <w:pgSz w:w="11906" w:h="16838"/>
          <w:pgMar w:top="2410" w:right="1134" w:bottom="1134" w:left="1134" w:header="1418" w:footer="1134" w:gutter="284"/>
          <w:pgNumType w:fmt="upperRoman" w:start="1"/>
          <w:cols w:space="425" w:num="1"/>
          <w:formProt w:val="0"/>
          <w:docGrid w:linePitch="312" w:charSpace="0"/>
        </w:sectPr>
      </w:pPr>
    </w:p>
    <w:bookmarkEnd w:id="19"/>
    <w:p w14:paraId="19EB235C">
      <w:pPr>
        <w:spacing w:line="20" w:lineRule="exact"/>
        <w:jc w:val="center"/>
        <w:rPr>
          <w:rFonts w:hint="eastAsia" w:ascii="黑体" w:hAnsi="黑体" w:eastAsia="黑体"/>
          <w:sz w:val="32"/>
          <w:szCs w:val="32"/>
        </w:rPr>
      </w:pPr>
      <w:bookmarkStart w:id="20" w:name="BookMark4"/>
    </w:p>
    <w:p w14:paraId="6CB8486D">
      <w:pPr>
        <w:spacing w:line="20" w:lineRule="exact"/>
        <w:jc w:val="center"/>
        <w:rPr>
          <w:rFonts w:hint="eastAsia" w:ascii="黑体" w:hAnsi="黑体" w:eastAsia="黑体"/>
          <w:sz w:val="32"/>
          <w:szCs w:val="32"/>
        </w:rPr>
      </w:pPr>
    </w:p>
    <w:sdt>
      <w:sdtPr>
        <w:tag w:val="NEW_STAND_NAME"/>
        <w:id w:val="595910757"/>
        <w:lock w:val="sdtLocked"/>
        <w:placeholder>
          <w:docPart w:val="D1842EB072F742269E98A4AC414F81FA"/>
        </w:placeholder>
      </w:sdtPr>
      <w:sdtContent>
        <w:p w14:paraId="74BF6CCA">
          <w:pPr>
            <w:pStyle w:val="177"/>
            <w:spacing w:before="240" w:beforeLines="100" w:after="528" w:afterLines="220"/>
            <w:rPr>
              <w:rFonts w:hint="eastAsia"/>
            </w:rPr>
          </w:pPr>
          <w:bookmarkStart w:id="21" w:name="NEW_STAND_NAME"/>
          <w:r>
            <w:rPr>
              <w:rFonts w:hint="eastAsia"/>
            </w:rPr>
            <w:t>内蒙古优势特色农畜产品品质评价管理技术规范  小米</w:t>
          </w:r>
        </w:p>
      </w:sdtContent>
    </w:sdt>
    <w:bookmarkEnd w:id="21"/>
    <w:p w14:paraId="6EBD7080">
      <w:pPr>
        <w:pStyle w:val="104"/>
        <w:spacing w:before="240" w:after="240"/>
      </w:pPr>
      <w:bookmarkStart w:id="22" w:name="_Toc26718930"/>
      <w:bookmarkStart w:id="23" w:name="_Toc26986771"/>
      <w:bookmarkStart w:id="24" w:name="_Toc17233333"/>
      <w:bookmarkStart w:id="25" w:name="_Toc26648465"/>
      <w:bookmarkStart w:id="26" w:name="_Toc24884211"/>
      <w:bookmarkStart w:id="27" w:name="_Toc26986530"/>
      <w:bookmarkStart w:id="28" w:name="_Toc24884218"/>
      <w:bookmarkStart w:id="29" w:name="_Toc17233325"/>
      <w:r>
        <w:rPr>
          <w:rFonts w:hint="eastAsia"/>
        </w:rPr>
        <w:t>范围</w:t>
      </w:r>
      <w:bookmarkEnd w:id="22"/>
      <w:bookmarkEnd w:id="23"/>
      <w:bookmarkEnd w:id="24"/>
      <w:bookmarkEnd w:id="25"/>
      <w:bookmarkEnd w:id="26"/>
      <w:bookmarkEnd w:id="27"/>
      <w:bookmarkEnd w:id="28"/>
      <w:bookmarkEnd w:id="29"/>
    </w:p>
    <w:p w14:paraId="5A03F284">
      <w:pPr>
        <w:pStyle w:val="56"/>
        <w:ind w:firstLine="420"/>
      </w:pPr>
      <w:bookmarkStart w:id="30" w:name="_Toc24884219"/>
      <w:bookmarkStart w:id="31" w:name="_Toc17233326"/>
      <w:bookmarkStart w:id="32" w:name="_Toc17233334"/>
      <w:bookmarkStart w:id="33" w:name="_Toc24884212"/>
      <w:bookmarkStart w:id="34" w:name="_Toc26648466"/>
      <w:r>
        <w:rPr>
          <w:rFonts w:hint="eastAsia"/>
        </w:rPr>
        <w:t>本文件规定了使用内蒙古优势特色小米产品品质评价的样品准备、评价指标、检测方法、评价方法和质量控制要求。</w:t>
      </w:r>
    </w:p>
    <w:p w14:paraId="7491C6B9">
      <w:pPr>
        <w:pStyle w:val="56"/>
        <w:ind w:firstLine="420"/>
      </w:pPr>
      <w:r>
        <w:rPr>
          <w:rFonts w:hint="eastAsia"/>
        </w:rPr>
        <w:t>本文件适用于使用内蒙古优势特色的小米产品的品质评价工作的技术管理。</w:t>
      </w:r>
    </w:p>
    <w:p w14:paraId="17819A86">
      <w:pPr>
        <w:pStyle w:val="104"/>
        <w:spacing w:before="240" w:after="240"/>
      </w:pPr>
      <w:bookmarkStart w:id="35" w:name="_Toc26718931"/>
      <w:bookmarkStart w:id="36" w:name="_Toc26986772"/>
      <w:bookmarkStart w:id="37" w:name="_Toc26986531"/>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52D1282A0C684DA98CDE44848471ED6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211CF22">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B3E313A">
      <w:pPr>
        <w:pStyle w:val="56"/>
        <w:ind w:firstLine="420"/>
      </w:pPr>
      <w:r>
        <w:rPr>
          <w:rFonts w:hint="eastAsia"/>
        </w:rPr>
        <w:t>GB/T 4883  数据的统计处理和解释 正态样本离群值的判断和处理</w:t>
      </w:r>
    </w:p>
    <w:p w14:paraId="7BF358F4">
      <w:pPr>
        <w:pStyle w:val="56"/>
        <w:ind w:firstLine="420"/>
      </w:pPr>
      <w:r>
        <w:rPr>
          <w:rFonts w:hint="eastAsia"/>
        </w:rPr>
        <w:t>GB/T 4889  数据的统计处理和解释 正态分布均值和方差的估计与检验</w:t>
      </w:r>
    </w:p>
    <w:p w14:paraId="41A89582">
      <w:pPr>
        <w:pStyle w:val="56"/>
        <w:ind w:firstLine="420"/>
      </w:pPr>
      <w:r>
        <w:rPr>
          <w:rFonts w:hint="eastAsia"/>
        </w:rPr>
        <w:t>GB 5009.6  食品安全国家标准 食品中脂肪的测定</w:t>
      </w:r>
    </w:p>
    <w:p w14:paraId="7B7C6248">
      <w:pPr>
        <w:pStyle w:val="56"/>
        <w:ind w:firstLine="420"/>
      </w:pPr>
      <w:r>
        <w:rPr>
          <w:rFonts w:hint="eastAsia"/>
        </w:rPr>
        <w:t>GB 5009.9  食品安全国家标准 食品中淀粉的测定</w:t>
      </w:r>
    </w:p>
    <w:p w14:paraId="6DD35DFD">
      <w:pPr>
        <w:pStyle w:val="56"/>
        <w:ind w:firstLine="420"/>
      </w:pPr>
      <w:r>
        <w:rPr>
          <w:rFonts w:hint="eastAsia"/>
        </w:rPr>
        <w:t>GB 5009.82  食品安全国家标准 食品中维生素A、D、E的测定</w:t>
      </w:r>
    </w:p>
    <w:p w14:paraId="60C99A3C">
      <w:pPr>
        <w:pStyle w:val="56"/>
        <w:ind w:firstLine="420"/>
      </w:pPr>
      <w:r>
        <w:rPr>
          <w:rFonts w:hint="eastAsia"/>
        </w:rPr>
        <w:t>GB 5009.84  食品安全国家标准 食品中维生素B</w:t>
      </w:r>
      <w:r>
        <w:rPr>
          <w:rFonts w:hint="eastAsia"/>
          <w:vertAlign w:val="subscript"/>
          <w:lang w:val="en-US" w:eastAsia="zh-CN"/>
        </w:rPr>
        <w:t>1</w:t>
      </w:r>
      <w:r>
        <w:rPr>
          <w:rFonts w:hint="eastAsia"/>
        </w:rPr>
        <w:t>的测定</w:t>
      </w:r>
    </w:p>
    <w:p w14:paraId="312EDC38">
      <w:pPr>
        <w:pStyle w:val="56"/>
        <w:ind w:firstLine="420"/>
      </w:pPr>
      <w:r>
        <w:rPr>
          <w:rFonts w:hint="eastAsia"/>
        </w:rPr>
        <w:t>GB 5009.124  食品安全国家标准 食品中氨基酸的测定</w:t>
      </w:r>
    </w:p>
    <w:p w14:paraId="6DC323D0">
      <w:pPr>
        <w:pStyle w:val="56"/>
        <w:ind w:firstLine="420"/>
      </w:pPr>
      <w:r>
        <w:rPr>
          <w:rFonts w:hint="eastAsia"/>
        </w:rPr>
        <w:t>GB 5009.168  食品安全国家标准 食品中脂肪酸的测定</w:t>
      </w:r>
    </w:p>
    <w:p w14:paraId="7241C9BC">
      <w:pPr>
        <w:pStyle w:val="56"/>
        <w:ind w:firstLine="420"/>
      </w:pPr>
      <w:r>
        <w:rPr>
          <w:rFonts w:hint="eastAsia"/>
        </w:rPr>
        <w:t>GB 5009.268  食品安全国家标准 食品中多元素的测定</w:t>
      </w:r>
    </w:p>
    <w:p w14:paraId="60E53625">
      <w:pPr>
        <w:pStyle w:val="56"/>
        <w:ind w:firstLine="420"/>
      </w:pPr>
      <w:r>
        <w:rPr>
          <w:rFonts w:hint="eastAsia"/>
        </w:rPr>
        <w:t>GB 5491 粮食、油料检验 扦样、分样法</w:t>
      </w:r>
    </w:p>
    <w:p w14:paraId="545B053A">
      <w:pPr>
        <w:pStyle w:val="56"/>
        <w:ind w:firstLine="420"/>
      </w:pPr>
      <w:r>
        <w:rPr>
          <w:rFonts w:hint="eastAsia"/>
        </w:rPr>
        <w:t>GB 7648 水稻、玉米、谷子籽粒直链淀粉测定法</w:t>
      </w:r>
    </w:p>
    <w:p w14:paraId="42E46F77">
      <w:pPr>
        <w:pStyle w:val="56"/>
        <w:ind w:firstLine="420"/>
      </w:pPr>
      <w:r>
        <w:rPr>
          <w:rFonts w:hint="eastAsia"/>
        </w:rPr>
        <w:t>GB/T 11766  小米</w:t>
      </w:r>
    </w:p>
    <w:p w14:paraId="50950990">
      <w:pPr>
        <w:pStyle w:val="56"/>
        <w:ind w:firstLine="420"/>
      </w:pPr>
      <w:r>
        <w:rPr>
          <w:rFonts w:hint="eastAsia"/>
        </w:rPr>
        <w:t>NY/T 893  绿色食品 粟米及粟米粉</w:t>
      </w:r>
    </w:p>
    <w:p w14:paraId="5CABED6C">
      <w:pPr>
        <w:pStyle w:val="56"/>
        <w:ind w:firstLine="420"/>
        <w:rPr>
          <w:rFonts w:hint="eastAsia"/>
          <w:highlight w:val="none"/>
        </w:rPr>
      </w:pPr>
      <w:r>
        <w:rPr>
          <w:rFonts w:hint="eastAsia"/>
          <w:highlight w:val="none"/>
        </w:rPr>
        <w:t>NY/T 3304  农产品检测样品管理技术规范</w:t>
      </w:r>
    </w:p>
    <w:p w14:paraId="2959AA3B">
      <w:pPr>
        <w:pStyle w:val="56"/>
        <w:ind w:firstLine="420"/>
      </w:pPr>
      <w:r>
        <w:t>DB13</w:t>
      </w:r>
      <w:r>
        <w:rPr>
          <w:rFonts w:hint="eastAsia"/>
        </w:rPr>
        <w:t>/T 1298  地理标志产品 蔚州贡米（蔚州小米）</w:t>
      </w:r>
    </w:p>
    <w:p w14:paraId="60443DFD">
      <w:pPr>
        <w:pStyle w:val="56"/>
        <w:ind w:firstLine="420"/>
      </w:pPr>
      <w:r>
        <w:rPr>
          <w:rFonts w:hint="eastAsia"/>
        </w:rPr>
        <w:t>DB15/T 1737  赤峰小米</w:t>
      </w:r>
    </w:p>
    <w:p w14:paraId="350B0FAB">
      <w:pPr>
        <w:pStyle w:val="104"/>
        <w:spacing w:before="240" w:after="240"/>
      </w:pPr>
      <w:r>
        <w:rPr>
          <w:rFonts w:hint="eastAsia"/>
          <w:szCs w:val="21"/>
        </w:rPr>
        <w:t>术语和定义</w:t>
      </w:r>
    </w:p>
    <w:sdt>
      <w:sdtPr>
        <w:id w:val="-1909835108"/>
        <w:placeholder>
          <w:docPart w:val="293B5A0D577048B38C9C44A4090F125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464D729">
          <w:pPr>
            <w:pStyle w:val="56"/>
            <w:ind w:firstLine="420"/>
          </w:pPr>
          <w:bookmarkStart w:id="38" w:name="_Toc26986532"/>
          <w:bookmarkEnd w:id="38"/>
          <w:r>
            <w:t>下列术语和定义适用于本文件。</w:t>
          </w:r>
        </w:p>
      </w:sdtContent>
    </w:sdt>
    <w:p w14:paraId="2B9EF0AD">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谷穗样品  setaria italica samples</w:t>
      </w:r>
    </w:p>
    <w:p w14:paraId="0B83D9D8">
      <w:pPr>
        <w:pStyle w:val="56"/>
        <w:ind w:firstLine="420"/>
      </w:pPr>
      <w:r>
        <w:rPr>
          <w:rFonts w:hint="eastAsia"/>
        </w:rPr>
        <w:t>本文件所指谷穗样品是未经脱粒处理的样品。</w:t>
      </w:r>
    </w:p>
    <w:p w14:paraId="5C48E166">
      <w:pPr>
        <w:pStyle w:val="223"/>
        <w:rPr>
          <w:rFonts w:hint="eastAsia" w:ascii="黑体" w:hAnsi="黑体" w:eastAsia="黑体"/>
        </w:rPr>
      </w:pPr>
      <w:r>
        <w:rPr>
          <w:rFonts w:ascii="黑体" w:hAnsi="黑体" w:eastAsia="黑体"/>
        </w:rPr>
        <w:br w:type="textWrapping"/>
      </w:r>
      <w:r>
        <w:rPr>
          <w:rFonts w:hint="eastAsia" w:ascii="黑体" w:hAnsi="黑体" w:eastAsia="黑体"/>
        </w:rPr>
        <w:t xml:space="preserve">    米粥样品 millet gruel samples</w:t>
      </w:r>
    </w:p>
    <w:p w14:paraId="72FBED27">
      <w:pPr>
        <w:pStyle w:val="56"/>
        <w:ind w:firstLine="420"/>
      </w:pPr>
      <w:r>
        <w:rPr>
          <w:rFonts w:hint="eastAsia"/>
        </w:rPr>
        <w:t>本文件所指米粥样品是小米样品经过蒸煮处理的样品。</w:t>
      </w:r>
    </w:p>
    <w:p w14:paraId="07413F71">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同比差异率  year-on-year difference rate</w:t>
      </w:r>
    </w:p>
    <w:p w14:paraId="15328686">
      <w:pPr>
        <w:pStyle w:val="56"/>
        <w:ind w:firstLine="420"/>
      </w:pPr>
      <w:r>
        <w:rPr>
          <w:rFonts w:hint="eastAsia"/>
        </w:rPr>
        <w:t>本文件所指的同比差异率是检测值与参考值的差除以参考值，以%表示。</w:t>
      </w:r>
    </w:p>
    <w:p w14:paraId="05DEB108">
      <w:pPr>
        <w:pStyle w:val="104"/>
        <w:spacing w:before="240" w:after="240"/>
      </w:pPr>
      <w:r>
        <w:rPr>
          <w:rFonts w:hint="eastAsia"/>
        </w:rPr>
        <w:t>样品准备</w:t>
      </w:r>
    </w:p>
    <w:p w14:paraId="4B3A2B84">
      <w:pPr>
        <w:pStyle w:val="105"/>
        <w:spacing w:before="120" w:after="120"/>
      </w:pPr>
      <w:r>
        <w:rPr>
          <w:rFonts w:hint="eastAsia"/>
        </w:rPr>
        <w:t>抽样</w:t>
      </w:r>
    </w:p>
    <w:p w14:paraId="11A435DB">
      <w:pPr>
        <w:pStyle w:val="65"/>
        <w:spacing w:before="120" w:after="120"/>
      </w:pPr>
      <w:r>
        <w:rPr>
          <w:rFonts w:hint="eastAsia"/>
        </w:rPr>
        <w:t>生产基地</w:t>
      </w:r>
    </w:p>
    <w:p w14:paraId="63B2D04C">
      <w:pPr>
        <w:pStyle w:val="56"/>
        <w:ind w:firstLine="420"/>
      </w:pPr>
      <w:r>
        <w:rPr>
          <w:rFonts w:hint="eastAsia"/>
        </w:rPr>
        <w:t>按照产地面积和地形不同，采用随机法、对角线法、五点法等进行多点抽样，产地面积小于1 hm</w:t>
      </w:r>
      <w:r>
        <w:rPr>
          <w:rFonts w:hint="eastAsia"/>
          <w:vertAlign w:val="superscript"/>
        </w:rPr>
        <w:t>2</w:t>
      </w:r>
      <w:r>
        <w:rPr>
          <w:rFonts w:hint="eastAsia"/>
        </w:rPr>
        <w:t>时，以0.1 hm</w:t>
      </w:r>
      <w:r>
        <w:rPr>
          <w:rFonts w:hint="eastAsia"/>
          <w:vertAlign w:val="superscript"/>
        </w:rPr>
        <w:t>2</w:t>
      </w:r>
      <w:r>
        <w:rPr>
          <w:rFonts w:hint="eastAsia"/>
        </w:rPr>
        <w:t>～0.2 hm</w:t>
      </w:r>
      <w:r>
        <w:rPr>
          <w:rFonts w:hint="eastAsia"/>
          <w:vertAlign w:val="superscript"/>
        </w:rPr>
        <w:t>2</w:t>
      </w:r>
      <w:r>
        <w:rPr>
          <w:rFonts w:hint="eastAsia"/>
        </w:rPr>
        <w:t>为抽样单元，产地面积大于1 hm</w:t>
      </w:r>
      <w:r>
        <w:rPr>
          <w:rFonts w:hint="eastAsia"/>
          <w:vertAlign w:val="superscript"/>
        </w:rPr>
        <w:t>2</w:t>
      </w:r>
      <w:r>
        <w:rPr>
          <w:rFonts w:hint="eastAsia"/>
        </w:rPr>
        <w:t>小于10 hm</w:t>
      </w:r>
      <w:r>
        <w:rPr>
          <w:rFonts w:hint="eastAsia"/>
          <w:vertAlign w:val="superscript"/>
        </w:rPr>
        <w:t>2</w:t>
      </w:r>
      <w:r>
        <w:rPr>
          <w:rFonts w:hint="eastAsia"/>
        </w:rPr>
        <w:t>时，以1 hm</w:t>
      </w:r>
      <w:r>
        <w:rPr>
          <w:rFonts w:hint="eastAsia"/>
          <w:vertAlign w:val="superscript"/>
        </w:rPr>
        <w:t>2</w:t>
      </w:r>
      <w:r>
        <w:rPr>
          <w:rFonts w:hint="eastAsia"/>
        </w:rPr>
        <w:t>～3 hm</w:t>
      </w:r>
      <w:r>
        <w:rPr>
          <w:rFonts w:hint="eastAsia"/>
          <w:vertAlign w:val="superscript"/>
        </w:rPr>
        <w:t>2</w:t>
      </w:r>
      <w:r>
        <w:rPr>
          <w:rFonts w:hint="eastAsia"/>
        </w:rPr>
        <w:t>作为抽样单元，产地面积大于10 hm</w:t>
      </w:r>
      <w:r>
        <w:rPr>
          <w:rFonts w:hint="eastAsia"/>
          <w:vertAlign w:val="superscript"/>
        </w:rPr>
        <w:t>2</w:t>
      </w:r>
      <w:r>
        <w:rPr>
          <w:rFonts w:hint="eastAsia"/>
        </w:rPr>
        <w:t>时，以3 hm</w:t>
      </w:r>
      <w:r>
        <w:rPr>
          <w:rFonts w:hint="eastAsia"/>
          <w:vertAlign w:val="superscript"/>
        </w:rPr>
        <w:t>2</w:t>
      </w:r>
      <w:r>
        <w:rPr>
          <w:rFonts w:hint="eastAsia"/>
        </w:rPr>
        <w:t>～5 hm</w:t>
      </w:r>
      <w:r>
        <w:rPr>
          <w:rFonts w:hint="eastAsia"/>
          <w:vertAlign w:val="superscript"/>
        </w:rPr>
        <w:t>2</w:t>
      </w:r>
      <w:r>
        <w:rPr>
          <w:rFonts w:hint="eastAsia"/>
        </w:rPr>
        <w:t>作为采抽样单元。在抽样单元内选取5～20个植株，采集谷穗。每个抽样单元内采集一个代表性样品，每个样本采集至少12个样点，抽样量不少于2公斤。谷子样品收获晾晒后，经脱粒、干燥、扬净处理。</w:t>
      </w:r>
    </w:p>
    <w:p w14:paraId="5DEDE739">
      <w:pPr>
        <w:pStyle w:val="65"/>
        <w:spacing w:before="120" w:after="120"/>
      </w:pPr>
      <w:r>
        <w:rPr>
          <w:rFonts w:hint="eastAsia"/>
        </w:rPr>
        <w:t>市场领域</w:t>
      </w:r>
    </w:p>
    <w:p w14:paraId="0ACC59F7">
      <w:pPr>
        <w:pStyle w:val="56"/>
        <w:ind w:firstLine="420"/>
      </w:pPr>
      <w:r>
        <w:rPr>
          <w:rFonts w:hint="eastAsia"/>
        </w:rPr>
        <w:t>抽样包数不少于总包数的5%，抽样量不少于1公斤。</w:t>
      </w:r>
    </w:p>
    <w:p w14:paraId="5CA40D8E">
      <w:pPr>
        <w:pStyle w:val="105"/>
        <w:spacing w:before="120" w:after="120"/>
      </w:pPr>
      <w:r>
        <w:rPr>
          <w:rFonts w:hint="eastAsia"/>
        </w:rPr>
        <w:t>品种要求</w:t>
      </w:r>
    </w:p>
    <w:p w14:paraId="1CA8DC9A">
      <w:pPr>
        <w:pStyle w:val="56"/>
        <w:ind w:firstLine="420"/>
      </w:pPr>
      <w:r>
        <w:rPr>
          <w:rFonts w:hint="eastAsia"/>
        </w:rPr>
        <w:t>在内蒙古种植的稳定性良好的主要代表品种，品种不宜多于3种。</w:t>
      </w:r>
    </w:p>
    <w:p w14:paraId="1523B586">
      <w:pPr>
        <w:pStyle w:val="105"/>
        <w:spacing w:before="120" w:after="120"/>
      </w:pPr>
      <w:r>
        <w:rPr>
          <w:rFonts w:hint="eastAsia"/>
        </w:rPr>
        <w:t>抽样要求</w:t>
      </w:r>
    </w:p>
    <w:p w14:paraId="15F7844A">
      <w:pPr>
        <w:pStyle w:val="56"/>
        <w:ind w:firstLine="420"/>
      </w:pPr>
      <w:r>
        <w:rPr>
          <w:rFonts w:hint="eastAsia"/>
        </w:rPr>
        <w:t>填写抽样单，应确保样品的真实性、代表性以及信息的完整性。用清洁干燥的自封袋包装，外附标签，注明抽样时间、样品名称及重量、抽样人签字等信息。</w:t>
      </w:r>
    </w:p>
    <w:p w14:paraId="539ABD9C">
      <w:pPr>
        <w:pStyle w:val="105"/>
        <w:spacing w:before="120" w:after="120"/>
      </w:pPr>
      <w:r>
        <w:rPr>
          <w:rFonts w:hint="eastAsia"/>
        </w:rPr>
        <w:t>样品制备和保存</w:t>
      </w:r>
    </w:p>
    <w:p w14:paraId="7268E262">
      <w:pPr>
        <w:pStyle w:val="65"/>
        <w:spacing w:before="120" w:after="120"/>
      </w:pPr>
      <w:r>
        <w:rPr>
          <w:rFonts w:hint="eastAsia"/>
        </w:rPr>
        <w:t>谷穗样品分样</w:t>
      </w:r>
    </w:p>
    <w:p w14:paraId="3CC1CC34">
      <w:pPr>
        <w:pStyle w:val="56"/>
        <w:ind w:firstLine="420"/>
      </w:pPr>
      <w:r>
        <w:rPr>
          <w:rFonts w:hint="eastAsia"/>
        </w:rPr>
        <w:t>将谷穗样品去除杂质，取1500 g～2000 g，用砻谷机去壳得到糙米，将糙米在碾米机上制备成GB/T 11766 规定的小米。样品充分混合均匀，可采取四分法或者分样器进行分样，分样要求按照GB 5491的规定执行。</w:t>
      </w:r>
    </w:p>
    <w:p w14:paraId="71C3B171">
      <w:pPr>
        <w:pStyle w:val="65"/>
        <w:spacing w:before="120" w:after="120"/>
      </w:pPr>
      <w:r>
        <w:rPr>
          <w:rFonts w:hint="eastAsia"/>
        </w:rPr>
        <w:t>小米样品分样</w:t>
      </w:r>
    </w:p>
    <w:p w14:paraId="7B7B31FC">
      <w:pPr>
        <w:pStyle w:val="56"/>
        <w:ind w:firstLine="420"/>
      </w:pPr>
      <w:r>
        <w:rPr>
          <w:rFonts w:hint="eastAsia"/>
        </w:rPr>
        <w:t>小米样品直接按照GB 5491的规定进行分样。</w:t>
      </w:r>
    </w:p>
    <w:p w14:paraId="40398D27">
      <w:pPr>
        <w:pStyle w:val="65"/>
        <w:spacing w:before="120" w:after="120"/>
      </w:pPr>
      <w:r>
        <w:rPr>
          <w:rFonts w:hint="eastAsia"/>
        </w:rPr>
        <w:t>制备和保存要求</w:t>
      </w:r>
    </w:p>
    <w:p w14:paraId="4A34BF2E">
      <w:pPr>
        <w:pStyle w:val="56"/>
        <w:ind w:firstLine="420"/>
      </w:pPr>
      <w:r>
        <w:rPr>
          <w:rFonts w:hint="eastAsia"/>
        </w:rPr>
        <w:t>根据检测标准要求，研磨至规定细度，通过不同孔径的样品筛，取筛下物充分混匀后，装入洁净容器，密封、标识，并根据检测标准要求存放。不同指标样品处理要求和保存条件参照附录A。</w:t>
      </w:r>
    </w:p>
    <w:p w14:paraId="0F037A35">
      <w:pPr>
        <w:pStyle w:val="104"/>
        <w:spacing w:before="240" w:after="240"/>
      </w:pPr>
      <w:r>
        <w:rPr>
          <w:rFonts w:hint="eastAsia"/>
        </w:rPr>
        <w:t>评价指标</w:t>
      </w:r>
    </w:p>
    <w:p w14:paraId="61716541">
      <w:pPr>
        <w:pStyle w:val="105"/>
        <w:spacing w:before="120" w:after="120"/>
      </w:pPr>
      <w:r>
        <w:rPr>
          <w:rFonts w:hint="eastAsia"/>
        </w:rPr>
        <w:t>小米样品评价指标</w:t>
      </w:r>
    </w:p>
    <w:p w14:paraId="564647ED">
      <w:pPr>
        <w:pStyle w:val="56"/>
        <w:ind w:firstLine="420"/>
      </w:pPr>
      <w:r>
        <w:rPr>
          <w:rFonts w:hint="eastAsia"/>
        </w:rPr>
        <w:t>包括但不限于淀粉，直链淀粉，氨基酸总量，脂肪、脂肪酸含量（包含饱和脂肪酸、不饱和脂肪酸总量）、维生素B</w:t>
      </w:r>
      <w:r>
        <w:rPr>
          <w:rFonts w:hint="eastAsia"/>
          <w:vertAlign w:val="subscript"/>
        </w:rPr>
        <w:t>1</w:t>
      </w:r>
      <w:r>
        <w:rPr>
          <w:rFonts w:hint="eastAsia"/>
        </w:rPr>
        <w:t>、维生素E、矿质元素、胶稠度等。</w:t>
      </w:r>
    </w:p>
    <w:p w14:paraId="61423CB7">
      <w:pPr>
        <w:pStyle w:val="105"/>
        <w:spacing w:before="120" w:after="120"/>
      </w:pPr>
      <w:r>
        <w:rPr>
          <w:rFonts w:hint="eastAsia"/>
        </w:rPr>
        <w:t>米粥样品评价指标</w:t>
      </w:r>
    </w:p>
    <w:p w14:paraId="33B6D720">
      <w:pPr>
        <w:pStyle w:val="56"/>
        <w:ind w:firstLine="420"/>
      </w:pPr>
      <w:r>
        <w:rPr>
          <w:rFonts w:hint="eastAsia"/>
        </w:rPr>
        <w:t>包括但不限于挥发性风味物质等。</w:t>
      </w:r>
    </w:p>
    <w:p w14:paraId="24F11CD3">
      <w:pPr>
        <w:pStyle w:val="104"/>
        <w:spacing w:before="240" w:after="240"/>
      </w:pPr>
      <w:r>
        <w:rPr>
          <w:rFonts w:hint="eastAsia"/>
        </w:rPr>
        <w:t>检测方法</w:t>
      </w:r>
    </w:p>
    <w:p w14:paraId="50EB852C">
      <w:pPr>
        <w:pStyle w:val="105"/>
        <w:spacing w:before="120" w:after="120"/>
      </w:pPr>
      <w:r>
        <w:rPr>
          <w:rFonts w:hint="eastAsia"/>
        </w:rPr>
        <w:t>小米样品评价指标检测方法</w:t>
      </w:r>
    </w:p>
    <w:p w14:paraId="7660BD80">
      <w:pPr>
        <w:pStyle w:val="165"/>
        <w:keepNext w:val="0"/>
        <w:keepLines w:val="0"/>
        <w:pageBreakBefore w:val="0"/>
        <w:widowControl w:val="0"/>
        <w:kinsoku/>
        <w:wordWrap/>
        <w:overflowPunct/>
        <w:topLinePunct w:val="0"/>
        <w:autoSpaceDE/>
        <w:autoSpaceDN/>
        <w:bidi w:val="0"/>
        <w:adjustRightInd/>
        <w:snapToGrid w:val="0"/>
        <w:textAlignment w:val="auto"/>
      </w:pPr>
      <w:r>
        <w:rPr>
          <w:rFonts w:hint="eastAsia"/>
        </w:rPr>
        <w:t>淀粉，按GB 5009.9规定的方法执行。</w:t>
      </w:r>
    </w:p>
    <w:p w14:paraId="7852D381">
      <w:pPr>
        <w:pStyle w:val="165"/>
        <w:keepNext w:val="0"/>
        <w:keepLines w:val="0"/>
        <w:pageBreakBefore w:val="0"/>
        <w:widowControl w:val="0"/>
        <w:kinsoku/>
        <w:wordWrap/>
        <w:overflowPunct/>
        <w:topLinePunct w:val="0"/>
        <w:autoSpaceDE/>
        <w:autoSpaceDN/>
        <w:bidi w:val="0"/>
        <w:adjustRightInd/>
        <w:snapToGrid w:val="0"/>
        <w:textAlignment w:val="auto"/>
      </w:pPr>
      <w:r>
        <w:rPr>
          <w:rFonts w:hint="eastAsia"/>
        </w:rPr>
        <w:t>直链淀粉，按GB 7648规定的方法执行。</w:t>
      </w:r>
    </w:p>
    <w:p w14:paraId="1C88ED62">
      <w:pPr>
        <w:pStyle w:val="165"/>
        <w:keepNext w:val="0"/>
        <w:keepLines w:val="0"/>
        <w:pageBreakBefore w:val="0"/>
        <w:widowControl w:val="0"/>
        <w:kinsoku/>
        <w:wordWrap/>
        <w:overflowPunct/>
        <w:topLinePunct w:val="0"/>
        <w:autoSpaceDE/>
        <w:autoSpaceDN/>
        <w:bidi w:val="0"/>
        <w:adjustRightInd/>
        <w:snapToGrid w:val="0"/>
        <w:textAlignment w:val="auto"/>
      </w:pPr>
      <w:r>
        <w:rPr>
          <w:rFonts w:hint="eastAsia"/>
        </w:rPr>
        <w:t>氨基酸总量，检测18种氨基酸，按GB 5009.124 规定的方法执行，计算甜味氨基酸、鲜味氨基酸等呈味氨基酸总量。</w:t>
      </w:r>
    </w:p>
    <w:p w14:paraId="4C078345">
      <w:pPr>
        <w:pStyle w:val="165"/>
        <w:keepNext w:val="0"/>
        <w:keepLines w:val="0"/>
        <w:pageBreakBefore w:val="0"/>
        <w:widowControl w:val="0"/>
        <w:kinsoku/>
        <w:wordWrap/>
        <w:overflowPunct/>
        <w:topLinePunct w:val="0"/>
        <w:autoSpaceDE/>
        <w:autoSpaceDN/>
        <w:bidi w:val="0"/>
        <w:adjustRightInd/>
        <w:snapToGrid w:val="0"/>
        <w:textAlignment w:val="auto"/>
      </w:pPr>
      <w:r>
        <w:rPr>
          <w:rFonts w:hint="eastAsia"/>
        </w:rPr>
        <w:t>脂肪，按GB 5009.6规定的方法执行。</w:t>
      </w:r>
    </w:p>
    <w:p w14:paraId="5743D085">
      <w:pPr>
        <w:pStyle w:val="165"/>
        <w:keepNext w:val="0"/>
        <w:keepLines w:val="0"/>
        <w:pageBreakBefore w:val="0"/>
        <w:widowControl w:val="0"/>
        <w:kinsoku/>
        <w:wordWrap/>
        <w:overflowPunct/>
        <w:topLinePunct w:val="0"/>
        <w:autoSpaceDE/>
        <w:autoSpaceDN/>
        <w:bidi w:val="0"/>
        <w:adjustRightInd/>
        <w:snapToGrid w:val="0"/>
        <w:textAlignment w:val="auto"/>
      </w:pPr>
      <w:r>
        <w:rPr>
          <w:rFonts w:hint="eastAsia"/>
        </w:rPr>
        <w:t>脂肪酸含量，按GB 5009.168 规定的方法执行，分别计算饱和脂肪酸、不饱和脂肪酸总量及比值。</w:t>
      </w:r>
    </w:p>
    <w:p w14:paraId="5FA37214">
      <w:pPr>
        <w:pStyle w:val="165"/>
        <w:keepNext w:val="0"/>
        <w:keepLines w:val="0"/>
        <w:pageBreakBefore w:val="0"/>
        <w:widowControl w:val="0"/>
        <w:kinsoku/>
        <w:wordWrap/>
        <w:overflowPunct/>
        <w:topLinePunct w:val="0"/>
        <w:autoSpaceDE/>
        <w:autoSpaceDN/>
        <w:bidi w:val="0"/>
        <w:adjustRightInd/>
        <w:snapToGrid w:val="0"/>
        <w:textAlignment w:val="auto"/>
      </w:pPr>
      <w:r>
        <w:rPr>
          <w:rFonts w:hint="eastAsia"/>
        </w:rPr>
        <w:t>维生素B1，按GB 5009.84规定的方法执行。</w:t>
      </w:r>
    </w:p>
    <w:p w14:paraId="1C5C5B75">
      <w:pPr>
        <w:pStyle w:val="165"/>
        <w:keepNext w:val="0"/>
        <w:keepLines w:val="0"/>
        <w:pageBreakBefore w:val="0"/>
        <w:widowControl w:val="0"/>
        <w:kinsoku/>
        <w:wordWrap/>
        <w:overflowPunct/>
        <w:topLinePunct w:val="0"/>
        <w:autoSpaceDE/>
        <w:autoSpaceDN/>
        <w:bidi w:val="0"/>
        <w:adjustRightInd/>
        <w:snapToGrid w:val="0"/>
        <w:textAlignment w:val="auto"/>
      </w:pPr>
      <w:r>
        <w:rPr>
          <w:rFonts w:hint="eastAsia"/>
        </w:rPr>
        <w:t>维生素E，GB 5009.82规定的方法执行。</w:t>
      </w:r>
    </w:p>
    <w:p w14:paraId="1E2D6A74">
      <w:pPr>
        <w:pStyle w:val="165"/>
        <w:keepNext w:val="0"/>
        <w:keepLines w:val="0"/>
        <w:pageBreakBefore w:val="0"/>
        <w:widowControl w:val="0"/>
        <w:kinsoku/>
        <w:wordWrap/>
        <w:overflowPunct/>
        <w:topLinePunct w:val="0"/>
        <w:autoSpaceDE/>
        <w:autoSpaceDN/>
        <w:bidi w:val="0"/>
        <w:adjustRightInd/>
        <w:snapToGrid w:val="0"/>
        <w:textAlignment w:val="auto"/>
      </w:pPr>
      <w:r>
        <w:rPr>
          <w:rFonts w:hint="eastAsia"/>
        </w:rPr>
        <w:t>矿质元素，至少检测钙、钠、锌、镁、铁、钾、硒，按GB 5009.268 规定的方法执行。</w:t>
      </w:r>
    </w:p>
    <w:p w14:paraId="4F599A8A">
      <w:pPr>
        <w:pStyle w:val="165"/>
        <w:keepNext w:val="0"/>
        <w:keepLines w:val="0"/>
        <w:pageBreakBefore w:val="0"/>
        <w:widowControl w:val="0"/>
        <w:kinsoku/>
        <w:wordWrap/>
        <w:overflowPunct/>
        <w:topLinePunct w:val="0"/>
        <w:autoSpaceDE/>
        <w:autoSpaceDN/>
        <w:bidi w:val="0"/>
        <w:adjustRightInd/>
        <w:snapToGrid w:val="0"/>
        <w:textAlignment w:val="auto"/>
      </w:pPr>
      <w:r>
        <w:rPr>
          <w:rFonts w:hint="eastAsia"/>
        </w:rPr>
        <w:t>胶稠度，按</w:t>
      </w:r>
      <w:r>
        <w:t>DB13</w:t>
      </w:r>
      <w:r>
        <w:rPr>
          <w:rFonts w:hint="eastAsia"/>
        </w:rPr>
        <w:t>/T 1298的附录A规定的方法执行。</w:t>
      </w:r>
    </w:p>
    <w:p w14:paraId="3B8A7507">
      <w:pPr>
        <w:pStyle w:val="105"/>
        <w:spacing w:before="120" w:after="120"/>
      </w:pPr>
      <w:r>
        <w:rPr>
          <w:rFonts w:hint="eastAsia"/>
        </w:rPr>
        <w:t>米粥样品评价指标检测方法</w:t>
      </w:r>
    </w:p>
    <w:p w14:paraId="58F6A94A">
      <w:pPr>
        <w:pStyle w:val="56"/>
        <w:ind w:firstLine="420"/>
      </w:pPr>
      <w:r>
        <w:rPr>
          <w:rFonts w:hint="eastAsia"/>
        </w:rPr>
        <w:t>挥发性风味物质，参照本文件附录</w:t>
      </w:r>
      <w:r>
        <w:rPr>
          <w:rFonts w:hint="eastAsia"/>
          <w:lang w:val="en-US" w:eastAsia="zh-CN"/>
        </w:rPr>
        <w:t>A</w:t>
      </w:r>
      <w:r>
        <w:rPr>
          <w:rFonts w:hint="eastAsia"/>
        </w:rPr>
        <w:t>制备米粥样品、</w:t>
      </w:r>
      <w:r>
        <w:rPr>
          <w:rFonts w:hint="eastAsia"/>
          <w:lang w:val="en-US" w:eastAsia="zh-CN"/>
        </w:rPr>
        <w:t>参照附录B</w:t>
      </w:r>
      <w:r>
        <w:rPr>
          <w:rFonts w:hint="eastAsia"/>
        </w:rPr>
        <w:t>检测，结果以挥发物质总量表示。</w:t>
      </w:r>
    </w:p>
    <w:p w14:paraId="4890EC56">
      <w:pPr>
        <w:pStyle w:val="104"/>
        <w:spacing w:before="240" w:after="240"/>
      </w:pPr>
      <w:r>
        <w:rPr>
          <w:rFonts w:hint="eastAsia"/>
        </w:rPr>
        <w:t>评价方法</w:t>
      </w:r>
    </w:p>
    <w:p w14:paraId="7AC77B2D">
      <w:pPr>
        <w:pStyle w:val="105"/>
        <w:spacing w:before="120" w:after="120"/>
      </w:pPr>
      <w:r>
        <w:rPr>
          <w:rFonts w:hint="eastAsia"/>
        </w:rPr>
        <w:t>营养品质指标和食味品质指标</w:t>
      </w:r>
    </w:p>
    <w:p w14:paraId="51CD68AE">
      <w:pPr>
        <w:pStyle w:val="65"/>
        <w:spacing w:before="120" w:after="120"/>
      </w:pPr>
      <w:r>
        <w:rPr>
          <w:rFonts w:hint="eastAsia"/>
        </w:rPr>
        <w:t>单项指标评价　</w:t>
      </w:r>
    </w:p>
    <w:p w14:paraId="5035B473">
      <w:pPr>
        <w:pStyle w:val="56"/>
        <w:ind w:firstLine="420"/>
      </w:pPr>
      <w:r>
        <w:rPr>
          <w:rFonts w:hint="eastAsia"/>
        </w:rPr>
        <w:t>单项与《中国食物成分表》（标准版第6版）、《中国食物营养成分表》（2019版）或同类产品标准的参考值进行比较，以同比差异率表示。单项指标结论可参考采用大于、小于、低于、优于或者进行功能性描述。根据单项指标结论，提出优于同类产品的特征指标。</w:t>
      </w:r>
    </w:p>
    <w:p w14:paraId="3758866E">
      <w:pPr>
        <w:pStyle w:val="65"/>
        <w:spacing w:before="120" w:after="120"/>
      </w:pPr>
      <w:r>
        <w:rPr>
          <w:rFonts w:hint="eastAsia"/>
        </w:rPr>
        <w:t>综合指标评价</w:t>
      </w:r>
    </w:p>
    <w:p w14:paraId="7FBDB9F4">
      <w:pPr>
        <w:pStyle w:val="56"/>
      </w:pPr>
      <w:r>
        <w:rPr>
          <w:rFonts w:hint="eastAsia"/>
        </w:rPr>
        <w:t>综合指标评价分为两部分：</w:t>
      </w:r>
    </w:p>
    <w:p w14:paraId="5A29FDF4">
      <w:pPr>
        <w:pStyle w:val="174"/>
      </w:pPr>
      <w:r>
        <w:rPr>
          <w:rFonts w:hint="eastAsia"/>
        </w:rPr>
        <w:t>有产品分级标准的指标：应根据GB/T 11766、NY/T 893、DB15/T 1737等分级标准，综合评价产品等级，评价结论以等级表示。具体指标值参见</w:t>
      </w:r>
      <w:bookmarkStart w:id="42" w:name="_GoBack"/>
      <w:bookmarkEnd w:id="42"/>
      <w:r>
        <w:rPr>
          <w:rFonts w:hint="eastAsia"/>
        </w:rPr>
        <w:t>附录C，评价结论以等级表示。</w:t>
      </w:r>
    </w:p>
    <w:p w14:paraId="6EAE280E">
      <w:pPr>
        <w:pStyle w:val="174"/>
      </w:pPr>
      <w:r>
        <w:rPr>
          <w:rFonts w:hint="eastAsia"/>
        </w:rPr>
        <w:t>无产品分级标准的指标：利用合理的统计分析方法，对各指标结果进行综合分析，提出明确评价意见，获得综合评价结论。</w:t>
      </w:r>
    </w:p>
    <w:p w14:paraId="6FEA056A">
      <w:pPr>
        <w:pStyle w:val="104"/>
        <w:spacing w:before="240" w:after="240"/>
      </w:pPr>
      <w:r>
        <w:rPr>
          <w:rFonts w:hint="eastAsia"/>
        </w:rPr>
        <w:t>评价报告要求</w:t>
      </w:r>
    </w:p>
    <w:p w14:paraId="7FDE9F67">
      <w:pPr>
        <w:pStyle w:val="105"/>
        <w:spacing w:before="120" w:after="120"/>
      </w:pPr>
      <w:r>
        <w:rPr>
          <w:rFonts w:hint="eastAsia"/>
        </w:rPr>
        <w:t>内容</w:t>
      </w:r>
    </w:p>
    <w:p w14:paraId="1A9621D7">
      <w:pPr>
        <w:pStyle w:val="56"/>
        <w:ind w:firstLine="420"/>
      </w:pPr>
      <w:r>
        <w:rPr>
          <w:rFonts w:hint="eastAsia"/>
        </w:rPr>
        <w:t>应至少包括抽样和调研情况、检测指标及方法、评价方法及过程、品质评价结论等。评价报告主要内容框架参照附录D。</w:t>
      </w:r>
    </w:p>
    <w:p w14:paraId="0C9CEC7B">
      <w:pPr>
        <w:pStyle w:val="105"/>
        <w:spacing w:before="120" w:after="120"/>
      </w:pPr>
      <w:r>
        <w:rPr>
          <w:rFonts w:hint="eastAsia"/>
        </w:rPr>
        <w:t>结论要求</w:t>
      </w:r>
    </w:p>
    <w:p w14:paraId="077CCA6A">
      <w:pPr>
        <w:pStyle w:val="56"/>
        <w:ind w:firstLine="420"/>
      </w:pPr>
      <w:r>
        <w:rPr>
          <w:rFonts w:hint="eastAsia"/>
        </w:rPr>
        <w:t>结论分为以下部分：</w:t>
      </w:r>
    </w:p>
    <w:p w14:paraId="7B28E713">
      <w:pPr>
        <w:pStyle w:val="174"/>
        <w:numPr>
          <w:ilvl w:val="0"/>
          <w:numId w:val="32"/>
        </w:numPr>
      </w:pPr>
      <w:r>
        <w:rPr>
          <w:rFonts w:hint="eastAsia"/>
        </w:rPr>
        <w:t>各指标含量情况，以各指标的通用单位计；</w:t>
      </w:r>
    </w:p>
    <w:p w14:paraId="6B35AD2D">
      <w:pPr>
        <w:pStyle w:val="174"/>
      </w:pPr>
      <w:r>
        <w:rPr>
          <w:rFonts w:hint="eastAsia"/>
        </w:rPr>
        <w:t>与同类产品差异性比较情况；</w:t>
      </w:r>
    </w:p>
    <w:p w14:paraId="05417922">
      <w:pPr>
        <w:pStyle w:val="174"/>
      </w:pPr>
      <w:r>
        <w:rPr>
          <w:rFonts w:hint="eastAsia"/>
        </w:rPr>
        <w:t>各指标与产地环境相关性情况；</w:t>
      </w:r>
    </w:p>
    <w:p w14:paraId="3BD0C27A">
      <w:pPr>
        <w:pStyle w:val="174"/>
      </w:pPr>
      <w:r>
        <w:rPr>
          <w:rFonts w:hint="eastAsia"/>
        </w:rPr>
        <w:t>采用数据处理和统计分析后，提出优质指标，确定关键物质或特征成分。</w:t>
      </w:r>
    </w:p>
    <w:p w14:paraId="52C193D7">
      <w:pPr>
        <w:pStyle w:val="104"/>
        <w:spacing w:before="240" w:after="240"/>
      </w:pPr>
      <w:r>
        <w:rPr>
          <w:rFonts w:hint="eastAsia"/>
        </w:rPr>
        <w:t>质量控制</w:t>
      </w:r>
    </w:p>
    <w:p w14:paraId="675190EB">
      <w:pPr>
        <w:pStyle w:val="105"/>
        <w:spacing w:before="120" w:after="120"/>
      </w:pPr>
      <w:r>
        <w:rPr>
          <w:rFonts w:hint="eastAsia"/>
        </w:rPr>
        <w:t>样品管理</w:t>
      </w:r>
    </w:p>
    <w:p w14:paraId="1BCBAD4A">
      <w:pPr>
        <w:pStyle w:val="56"/>
        <w:ind w:firstLine="420"/>
      </w:pPr>
      <w:r>
        <w:rPr>
          <w:rFonts w:hint="eastAsia"/>
        </w:rPr>
        <w:t>样品管理分为以下部分：</w:t>
      </w:r>
    </w:p>
    <w:p w14:paraId="3F318434">
      <w:pPr>
        <w:pStyle w:val="174"/>
        <w:numPr>
          <w:ilvl w:val="0"/>
          <w:numId w:val="33"/>
        </w:numPr>
      </w:pPr>
      <w:r>
        <w:rPr>
          <w:rFonts w:hint="eastAsia"/>
        </w:rPr>
        <w:t>应</w:t>
      </w:r>
      <w:r>
        <w:rPr>
          <w:rFonts w:hint="eastAsia"/>
          <w:lang w:val="en-US" w:eastAsia="zh-CN"/>
        </w:rPr>
        <w:t>按照</w:t>
      </w:r>
      <w:r>
        <w:rPr>
          <w:rFonts w:hint="eastAsia"/>
          <w:highlight w:val="none"/>
        </w:rPr>
        <w:t>NY/T 3304</w:t>
      </w:r>
      <w:r>
        <w:rPr>
          <w:rFonts w:hint="eastAsia"/>
        </w:rPr>
        <w:t>建立样品管理程序，有样品接收、制备、保存、流转、复检和处置等相应记录；</w:t>
      </w:r>
    </w:p>
    <w:p w14:paraId="69A989E4">
      <w:pPr>
        <w:pStyle w:val="174"/>
      </w:pPr>
      <w:r>
        <w:rPr>
          <w:rFonts w:hint="eastAsia"/>
        </w:rPr>
        <w:t>应有专人负责样品管理。</w:t>
      </w:r>
    </w:p>
    <w:p w14:paraId="281BE937">
      <w:pPr>
        <w:pStyle w:val="105"/>
        <w:spacing w:before="120" w:after="120"/>
      </w:pPr>
      <w:r>
        <w:rPr>
          <w:rFonts w:hint="eastAsia"/>
        </w:rPr>
        <w:t>检测结果有效性</w:t>
      </w:r>
    </w:p>
    <w:p w14:paraId="0386A667">
      <w:pPr>
        <w:pStyle w:val="56"/>
        <w:ind w:firstLine="420"/>
      </w:pPr>
      <w:r>
        <w:rPr>
          <w:rFonts w:hint="eastAsia"/>
        </w:rPr>
        <w:t>检测结果分为以下部分：</w:t>
      </w:r>
    </w:p>
    <w:p w14:paraId="51CEA059">
      <w:pPr>
        <w:pStyle w:val="174"/>
        <w:numPr>
          <w:ilvl w:val="0"/>
          <w:numId w:val="34"/>
        </w:numPr>
      </w:pPr>
      <w:r>
        <w:rPr>
          <w:rFonts w:hint="eastAsia"/>
        </w:rPr>
        <w:t>检测过程应纳入实验室管理体系运行中；</w:t>
      </w:r>
    </w:p>
    <w:p w14:paraId="7EEA471A">
      <w:pPr>
        <w:pStyle w:val="174"/>
      </w:pPr>
      <w:r>
        <w:rPr>
          <w:rFonts w:hint="eastAsia"/>
        </w:rPr>
        <w:t>检测结果应符合相应检测方法中检出限/定量限、正确度和精密度要求；</w:t>
      </w:r>
    </w:p>
    <w:p w14:paraId="7CB6A94D">
      <w:pPr>
        <w:pStyle w:val="174"/>
      </w:pPr>
      <w:r>
        <w:rPr>
          <w:rFonts w:hint="eastAsia"/>
        </w:rPr>
        <w:t>必要时，应通过标准物质/标准样品、质控样品、加标回收、人员比对等内部质量控制方式保证结果有效性；</w:t>
      </w:r>
    </w:p>
    <w:p w14:paraId="0689EEBB">
      <w:pPr>
        <w:pStyle w:val="174"/>
      </w:pPr>
      <w:r>
        <w:rPr>
          <w:rFonts w:hint="eastAsia"/>
        </w:rPr>
        <w:t>分析质量控制的结果数据，若发现数据分析结果超出预定的准则时，应启动预防纠正措施，实施改进。</w:t>
      </w:r>
    </w:p>
    <w:p w14:paraId="749823DE">
      <w:pPr>
        <w:pStyle w:val="105"/>
        <w:spacing w:before="120" w:after="120"/>
      </w:pPr>
      <w:r>
        <w:rPr>
          <w:rFonts w:hint="eastAsia"/>
        </w:rPr>
        <w:t>统计分析有效性</w:t>
      </w:r>
    </w:p>
    <w:p w14:paraId="57A2D47D">
      <w:pPr>
        <w:pStyle w:val="56"/>
        <w:ind w:firstLine="420"/>
      </w:pPr>
      <w:r>
        <w:rPr>
          <w:rFonts w:hint="eastAsia"/>
        </w:rPr>
        <w:t>统计分析有效性分为以下部分：</w:t>
      </w:r>
    </w:p>
    <w:p w14:paraId="0BA4F4BC">
      <w:pPr>
        <w:pStyle w:val="174"/>
        <w:numPr>
          <w:ilvl w:val="0"/>
          <w:numId w:val="35"/>
        </w:numPr>
      </w:pPr>
      <w:r>
        <w:rPr>
          <w:rFonts w:hint="eastAsia"/>
        </w:rPr>
        <w:t>根据实际情况或以往经验，按照GB/T 4883的规定，选定适宜的离群值检验规则，合理剔除离群值。</w:t>
      </w:r>
    </w:p>
    <w:p w14:paraId="524D9827">
      <w:pPr>
        <w:pStyle w:val="174"/>
      </w:pPr>
      <w:r>
        <w:rPr>
          <w:rFonts w:hint="eastAsia"/>
        </w:rPr>
        <w:t>单项指标评价的差异性分析采用方差分析、t检验、卡方检验等方法，具体按照GB/T 4889的规定进行；</w:t>
      </w:r>
    </w:p>
    <w:p w14:paraId="5F77417A">
      <w:pPr>
        <w:pStyle w:val="174"/>
      </w:pPr>
      <w:r>
        <w:rPr>
          <w:rFonts w:hint="eastAsia"/>
        </w:rPr>
        <w:t>综合指标评价的多元性分析采用主成分分析、聚类分析、相关分析、灰色关联度等方法进行。</w:t>
      </w:r>
    </w:p>
    <w:p w14:paraId="2E4E3ECC">
      <w:pPr>
        <w:pStyle w:val="56"/>
        <w:ind w:firstLine="420"/>
      </w:pPr>
    </w:p>
    <w:p w14:paraId="2F63E160">
      <w:pPr>
        <w:pStyle w:val="56"/>
        <w:ind w:firstLine="420"/>
      </w:pPr>
    </w:p>
    <w:p w14:paraId="3FC2B0E3">
      <w:pPr>
        <w:pStyle w:val="56"/>
        <w:ind w:firstLine="420"/>
      </w:pPr>
    </w:p>
    <w:p w14:paraId="75678662">
      <w:pPr>
        <w:pStyle w:val="56"/>
        <w:ind w:firstLine="420"/>
        <w:sectPr>
          <w:headerReference r:id="rId15" w:type="default"/>
          <w:footerReference r:id="rId17" w:type="default"/>
          <w:headerReference r:id="rId16" w:type="even"/>
          <w:footerReference r:id="rId18" w:type="even"/>
          <w:pgSz w:w="11906" w:h="16838"/>
          <w:pgMar w:top="2410" w:right="1134" w:bottom="1134" w:left="1134" w:header="1418" w:footer="1134" w:gutter="284"/>
          <w:pgNumType w:start="1"/>
          <w:cols w:space="425" w:num="1"/>
          <w:formProt w:val="0"/>
          <w:docGrid w:linePitch="312" w:charSpace="0"/>
        </w:sectPr>
      </w:pPr>
    </w:p>
    <w:bookmarkEnd w:id="20"/>
    <w:p w14:paraId="36A30969">
      <w:pPr>
        <w:pStyle w:val="198"/>
        <w:rPr>
          <w:rFonts w:hint="eastAsia"/>
          <w:vanish w:val="0"/>
        </w:rPr>
      </w:pPr>
      <w:bookmarkStart w:id="39" w:name="BookMark5"/>
    </w:p>
    <w:p w14:paraId="51A6AE17">
      <w:pPr>
        <w:pStyle w:val="199"/>
        <w:rPr>
          <w:vanish w:val="0"/>
        </w:rPr>
      </w:pPr>
    </w:p>
    <w:p w14:paraId="5B38046F">
      <w:pPr>
        <w:pStyle w:val="76"/>
        <w:spacing w:before="60" w:after="120"/>
      </w:pPr>
      <w:r>
        <w:br w:type="textWrapping"/>
      </w:r>
      <w:r>
        <w:rPr>
          <w:rFonts w:hint="eastAsia"/>
        </w:rPr>
        <w:t>（资料性）</w:t>
      </w:r>
      <w:r>
        <w:br w:type="textWrapping"/>
      </w:r>
      <w:r>
        <w:rPr>
          <w:rFonts w:hint="eastAsia"/>
        </w:rPr>
        <w:t>小米样品制备和保存条件的要求</w:t>
      </w:r>
    </w:p>
    <w:p w14:paraId="325B8A77">
      <w:pPr>
        <w:pStyle w:val="56"/>
        <w:ind w:firstLine="420"/>
      </w:pPr>
      <w:r>
        <w:rPr>
          <w:rFonts w:hint="eastAsia"/>
        </w:rPr>
        <w:t>小米样品制备和保存条件的要求见表A.1。</w:t>
      </w:r>
    </w:p>
    <w:p w14:paraId="41850730">
      <w:pPr>
        <w:pStyle w:val="77"/>
        <w:spacing w:before="120" w:after="120"/>
      </w:pPr>
      <w:r>
        <w:rPr>
          <w:rFonts w:hint="eastAsia"/>
        </w:rPr>
        <w:t>小米样品制备和保存条件的要求</w:t>
      </w:r>
    </w:p>
    <w:tbl>
      <w:tblPr>
        <w:tblStyle w:val="27"/>
        <w:tblW w:w="942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201"/>
      </w:tblGrid>
      <w:tr w14:paraId="0E5465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tcPr>
          <w:p w14:paraId="1FF668A2">
            <w:pPr>
              <w:pStyle w:val="178"/>
            </w:pPr>
            <w:r>
              <w:rPr>
                <w:rFonts w:hint="eastAsia"/>
              </w:rPr>
              <w:t>检测项目</w:t>
            </w:r>
          </w:p>
        </w:tc>
        <w:tc>
          <w:tcPr>
            <w:tcW w:w="3112" w:type="dxa"/>
            <w:tcBorders>
              <w:top w:val="single" w:color="auto" w:sz="8" w:space="0"/>
              <w:bottom w:val="single" w:color="auto" w:sz="8" w:space="0"/>
            </w:tcBorders>
            <w:shd w:val="clear" w:color="auto" w:fill="auto"/>
          </w:tcPr>
          <w:p w14:paraId="4B18DD00">
            <w:pPr>
              <w:pStyle w:val="178"/>
            </w:pPr>
            <w:r>
              <w:rPr>
                <w:rFonts w:hint="eastAsia"/>
              </w:rPr>
              <w:t>样品制备要求</w:t>
            </w:r>
          </w:p>
        </w:tc>
        <w:tc>
          <w:tcPr>
            <w:tcW w:w="3201" w:type="dxa"/>
            <w:tcBorders>
              <w:top w:val="single" w:color="auto" w:sz="8" w:space="0"/>
              <w:bottom w:val="single" w:color="auto" w:sz="8" w:space="0"/>
            </w:tcBorders>
            <w:shd w:val="clear" w:color="auto" w:fill="auto"/>
          </w:tcPr>
          <w:p w14:paraId="13E33427">
            <w:pPr>
              <w:pStyle w:val="178"/>
            </w:pPr>
            <w:r>
              <w:rPr>
                <w:rFonts w:hint="eastAsia"/>
              </w:rPr>
              <w:t>保存条件</w:t>
            </w:r>
          </w:p>
        </w:tc>
      </w:tr>
      <w:tr w14:paraId="2DA179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tcPr>
          <w:p w14:paraId="56D62F6D">
            <w:pPr>
              <w:pStyle w:val="178"/>
            </w:pPr>
            <w:r>
              <w:rPr>
                <w:rFonts w:hint="eastAsia"/>
              </w:rPr>
              <w:t>淀粉</w:t>
            </w:r>
          </w:p>
        </w:tc>
        <w:tc>
          <w:tcPr>
            <w:tcW w:w="3112" w:type="dxa"/>
            <w:tcBorders>
              <w:top w:val="single" w:color="auto" w:sz="8" w:space="0"/>
            </w:tcBorders>
            <w:shd w:val="clear" w:color="auto" w:fill="auto"/>
          </w:tcPr>
          <w:p w14:paraId="71E640A3">
            <w:pPr>
              <w:pStyle w:val="178"/>
            </w:pPr>
            <w:r>
              <w:rPr>
                <w:rFonts w:hint="eastAsia"/>
              </w:rPr>
              <w:t>粉碎混匀后，通过0.425 mm筛</w:t>
            </w:r>
          </w:p>
        </w:tc>
        <w:tc>
          <w:tcPr>
            <w:tcW w:w="3201" w:type="dxa"/>
            <w:tcBorders>
              <w:top w:val="single" w:color="auto" w:sz="8" w:space="0"/>
            </w:tcBorders>
            <w:shd w:val="clear" w:color="auto" w:fill="auto"/>
          </w:tcPr>
          <w:p w14:paraId="294A9777">
            <w:pPr>
              <w:pStyle w:val="178"/>
            </w:pPr>
            <w:r>
              <w:rPr>
                <w:rFonts w:hint="eastAsia"/>
              </w:rPr>
              <w:t>室温、阴凉干燥处</w:t>
            </w:r>
          </w:p>
        </w:tc>
      </w:tr>
      <w:tr w14:paraId="28CA30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26C242AA">
            <w:pPr>
              <w:pStyle w:val="178"/>
            </w:pPr>
            <w:r>
              <w:rPr>
                <w:rFonts w:hint="eastAsia"/>
              </w:rPr>
              <w:t>直链淀粉</w:t>
            </w:r>
          </w:p>
        </w:tc>
        <w:tc>
          <w:tcPr>
            <w:tcW w:w="3112" w:type="dxa"/>
            <w:shd w:val="clear" w:color="auto" w:fill="auto"/>
          </w:tcPr>
          <w:p w14:paraId="05843F11">
            <w:pPr>
              <w:pStyle w:val="178"/>
            </w:pPr>
            <w:r>
              <w:rPr>
                <w:rFonts w:hint="eastAsia"/>
              </w:rPr>
              <w:t>粉碎混匀后，通过0.177mm筛</w:t>
            </w:r>
          </w:p>
        </w:tc>
        <w:tc>
          <w:tcPr>
            <w:tcW w:w="3201" w:type="dxa"/>
            <w:shd w:val="clear" w:color="auto" w:fill="auto"/>
          </w:tcPr>
          <w:p w14:paraId="3D741158">
            <w:pPr>
              <w:pStyle w:val="178"/>
            </w:pPr>
            <w:r>
              <w:rPr>
                <w:rFonts w:hint="eastAsia"/>
              </w:rPr>
              <w:t>室温、阴凉干燥处</w:t>
            </w:r>
          </w:p>
        </w:tc>
      </w:tr>
      <w:tr w14:paraId="2B912E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6FA88040">
            <w:pPr>
              <w:pStyle w:val="178"/>
            </w:pPr>
            <w:r>
              <w:rPr>
                <w:rFonts w:hint="eastAsia"/>
              </w:rPr>
              <w:t>氨基酸总量</w:t>
            </w:r>
          </w:p>
        </w:tc>
        <w:tc>
          <w:tcPr>
            <w:tcW w:w="3112" w:type="dxa"/>
            <w:shd w:val="clear" w:color="auto" w:fill="auto"/>
          </w:tcPr>
          <w:p w14:paraId="2E4D0206">
            <w:pPr>
              <w:pStyle w:val="178"/>
            </w:pPr>
            <w:r>
              <w:rPr>
                <w:rFonts w:hint="eastAsia"/>
              </w:rPr>
              <w:t>粉碎混匀后，通过0.425 mm筛</w:t>
            </w:r>
          </w:p>
        </w:tc>
        <w:tc>
          <w:tcPr>
            <w:tcW w:w="3201" w:type="dxa"/>
            <w:shd w:val="clear" w:color="auto" w:fill="auto"/>
          </w:tcPr>
          <w:p w14:paraId="5B5373E0">
            <w:pPr>
              <w:pStyle w:val="178"/>
            </w:pPr>
            <w:r>
              <w:rPr>
                <w:rFonts w:hint="eastAsia"/>
              </w:rPr>
              <w:t>室温、阴凉干燥处</w:t>
            </w:r>
          </w:p>
        </w:tc>
      </w:tr>
      <w:tr w14:paraId="3AE9E9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7BA220C3">
            <w:pPr>
              <w:pStyle w:val="178"/>
            </w:pPr>
            <w:r>
              <w:rPr>
                <w:rFonts w:hint="eastAsia"/>
              </w:rPr>
              <w:t>脂肪</w:t>
            </w:r>
          </w:p>
        </w:tc>
        <w:tc>
          <w:tcPr>
            <w:tcW w:w="3112" w:type="dxa"/>
            <w:shd w:val="clear" w:color="auto" w:fill="auto"/>
          </w:tcPr>
          <w:p w14:paraId="15CFD513">
            <w:pPr>
              <w:pStyle w:val="178"/>
            </w:pPr>
            <w:r>
              <w:rPr>
                <w:rFonts w:hint="eastAsia"/>
              </w:rPr>
              <w:t>粉碎混匀后，通过0.425 mm筛</w:t>
            </w:r>
          </w:p>
        </w:tc>
        <w:tc>
          <w:tcPr>
            <w:tcW w:w="3201" w:type="dxa"/>
            <w:shd w:val="clear" w:color="auto" w:fill="auto"/>
          </w:tcPr>
          <w:p w14:paraId="612DF3AC">
            <w:pPr>
              <w:pStyle w:val="178"/>
            </w:pPr>
            <w:r>
              <w:rPr>
                <w:rFonts w:hint="eastAsia"/>
              </w:rPr>
              <w:t>室温、阴凉干燥处</w:t>
            </w:r>
          </w:p>
        </w:tc>
      </w:tr>
      <w:tr w14:paraId="49AFE7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3A9E49DA">
            <w:pPr>
              <w:pStyle w:val="178"/>
            </w:pPr>
            <w:r>
              <w:rPr>
                <w:rFonts w:hint="eastAsia"/>
              </w:rPr>
              <w:t>脂肪酸</w:t>
            </w:r>
          </w:p>
        </w:tc>
        <w:tc>
          <w:tcPr>
            <w:tcW w:w="3112" w:type="dxa"/>
            <w:shd w:val="clear" w:color="auto" w:fill="auto"/>
          </w:tcPr>
          <w:p w14:paraId="6583F786">
            <w:pPr>
              <w:pStyle w:val="178"/>
            </w:pPr>
            <w:r>
              <w:rPr>
                <w:rFonts w:hint="eastAsia"/>
              </w:rPr>
              <w:t>粉碎混匀后，通过0.425 mm筛</w:t>
            </w:r>
          </w:p>
        </w:tc>
        <w:tc>
          <w:tcPr>
            <w:tcW w:w="3201" w:type="dxa"/>
            <w:shd w:val="clear" w:color="auto" w:fill="auto"/>
          </w:tcPr>
          <w:p w14:paraId="12BBCCE3">
            <w:pPr>
              <w:pStyle w:val="178"/>
            </w:pPr>
            <w:r>
              <w:rPr>
                <w:rFonts w:hint="eastAsia"/>
              </w:rPr>
              <w:t>室温、阴凉干燥处</w:t>
            </w:r>
          </w:p>
        </w:tc>
      </w:tr>
      <w:tr w14:paraId="7F86EC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7C6213B0">
            <w:pPr>
              <w:pStyle w:val="178"/>
            </w:pPr>
            <w:r>
              <w:rPr>
                <w:rFonts w:hint="eastAsia"/>
              </w:rPr>
              <w:t>维生素B1</w:t>
            </w:r>
          </w:p>
        </w:tc>
        <w:tc>
          <w:tcPr>
            <w:tcW w:w="3112" w:type="dxa"/>
            <w:shd w:val="clear" w:color="auto" w:fill="auto"/>
          </w:tcPr>
          <w:p w14:paraId="599A52E7">
            <w:pPr>
              <w:pStyle w:val="178"/>
            </w:pPr>
            <w:r>
              <w:rPr>
                <w:rFonts w:hint="eastAsia"/>
              </w:rPr>
              <w:t>粉碎混匀后，通过0.425 mm筛</w:t>
            </w:r>
          </w:p>
        </w:tc>
        <w:tc>
          <w:tcPr>
            <w:tcW w:w="3201" w:type="dxa"/>
            <w:shd w:val="clear" w:color="auto" w:fill="auto"/>
          </w:tcPr>
          <w:p w14:paraId="106B4D73">
            <w:pPr>
              <w:pStyle w:val="178"/>
            </w:pPr>
            <w:r>
              <w:rPr>
                <w:rFonts w:hint="eastAsia"/>
              </w:rPr>
              <w:t>室温、阴凉干燥处</w:t>
            </w:r>
          </w:p>
        </w:tc>
      </w:tr>
      <w:tr w14:paraId="55685C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763DEF22">
            <w:pPr>
              <w:pStyle w:val="178"/>
            </w:pPr>
            <w:r>
              <w:rPr>
                <w:rFonts w:hint="eastAsia"/>
              </w:rPr>
              <w:t>维生素E</w:t>
            </w:r>
          </w:p>
        </w:tc>
        <w:tc>
          <w:tcPr>
            <w:tcW w:w="3112" w:type="dxa"/>
            <w:shd w:val="clear" w:color="auto" w:fill="auto"/>
          </w:tcPr>
          <w:p w14:paraId="410BF419">
            <w:pPr>
              <w:pStyle w:val="178"/>
            </w:pPr>
            <w:r>
              <w:rPr>
                <w:rFonts w:hint="eastAsia"/>
              </w:rPr>
              <w:t>粉碎混匀后，通过0.425 mm筛</w:t>
            </w:r>
          </w:p>
        </w:tc>
        <w:tc>
          <w:tcPr>
            <w:tcW w:w="3201" w:type="dxa"/>
            <w:shd w:val="clear" w:color="auto" w:fill="auto"/>
          </w:tcPr>
          <w:p w14:paraId="02A02998">
            <w:pPr>
              <w:pStyle w:val="178"/>
            </w:pPr>
            <w:r>
              <w:rPr>
                <w:rFonts w:hint="eastAsia"/>
              </w:rPr>
              <w:t>室温、阴凉干燥处</w:t>
            </w:r>
          </w:p>
        </w:tc>
      </w:tr>
      <w:tr w14:paraId="143B3A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1FBBE662">
            <w:pPr>
              <w:pStyle w:val="178"/>
            </w:pPr>
            <w:r>
              <w:rPr>
                <w:rFonts w:hint="eastAsia"/>
              </w:rPr>
              <w:t>锌、铁、钾等矿质元素</w:t>
            </w:r>
          </w:p>
        </w:tc>
        <w:tc>
          <w:tcPr>
            <w:tcW w:w="3112" w:type="dxa"/>
            <w:shd w:val="clear" w:color="auto" w:fill="auto"/>
          </w:tcPr>
          <w:p w14:paraId="06820EE7">
            <w:pPr>
              <w:pStyle w:val="178"/>
            </w:pPr>
            <w:r>
              <w:rPr>
                <w:rFonts w:hint="eastAsia"/>
              </w:rPr>
              <w:t>粉碎混匀后，通过0.425 mm筛</w:t>
            </w:r>
          </w:p>
        </w:tc>
        <w:tc>
          <w:tcPr>
            <w:tcW w:w="3201" w:type="dxa"/>
            <w:shd w:val="clear" w:color="auto" w:fill="auto"/>
          </w:tcPr>
          <w:p w14:paraId="46826A77">
            <w:pPr>
              <w:pStyle w:val="178"/>
            </w:pPr>
            <w:r>
              <w:rPr>
                <w:rFonts w:hint="eastAsia"/>
              </w:rPr>
              <w:t>室温、阴凉干燥处</w:t>
            </w:r>
          </w:p>
        </w:tc>
      </w:tr>
      <w:tr w14:paraId="6C0A90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3F2F41B1">
            <w:pPr>
              <w:pStyle w:val="178"/>
            </w:pPr>
            <w:r>
              <w:rPr>
                <w:rFonts w:hint="eastAsia"/>
              </w:rPr>
              <w:t>胶稠度</w:t>
            </w:r>
          </w:p>
        </w:tc>
        <w:tc>
          <w:tcPr>
            <w:tcW w:w="3112" w:type="dxa"/>
            <w:shd w:val="clear" w:color="auto" w:fill="auto"/>
          </w:tcPr>
          <w:p w14:paraId="12F800E4">
            <w:pPr>
              <w:pStyle w:val="178"/>
            </w:pPr>
            <w:r>
              <w:rPr>
                <w:rFonts w:hint="eastAsia"/>
              </w:rPr>
              <w:t>粉碎混匀后，通过0.15mm筛</w:t>
            </w:r>
          </w:p>
        </w:tc>
        <w:tc>
          <w:tcPr>
            <w:tcW w:w="3201" w:type="dxa"/>
            <w:shd w:val="clear" w:color="auto" w:fill="auto"/>
          </w:tcPr>
          <w:p w14:paraId="4F46D948">
            <w:pPr>
              <w:pStyle w:val="178"/>
            </w:pPr>
            <w:r>
              <w:rPr>
                <w:rFonts w:hint="eastAsia"/>
              </w:rPr>
              <w:t>室温、阴凉干燥处</w:t>
            </w:r>
          </w:p>
        </w:tc>
      </w:tr>
      <w:tr w14:paraId="1E093C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6C5CF770">
            <w:pPr>
              <w:pStyle w:val="178"/>
            </w:pPr>
            <w:r>
              <w:rPr>
                <w:rFonts w:hint="eastAsia"/>
              </w:rPr>
              <w:t>挥发性风味物质</w:t>
            </w:r>
          </w:p>
        </w:tc>
        <w:tc>
          <w:tcPr>
            <w:tcW w:w="3112" w:type="dxa"/>
            <w:shd w:val="clear" w:color="auto" w:fill="auto"/>
          </w:tcPr>
          <w:p w14:paraId="458D85B0">
            <w:pPr>
              <w:pStyle w:val="178"/>
            </w:pPr>
            <w:r>
              <w:rPr>
                <w:rFonts w:hint="eastAsia"/>
              </w:rPr>
              <w:t>完整小米</w:t>
            </w:r>
          </w:p>
        </w:tc>
        <w:tc>
          <w:tcPr>
            <w:tcW w:w="3201" w:type="dxa"/>
            <w:shd w:val="clear" w:color="auto" w:fill="auto"/>
          </w:tcPr>
          <w:p w14:paraId="614E9078">
            <w:pPr>
              <w:pStyle w:val="178"/>
            </w:pPr>
            <w:r>
              <w:rPr>
                <w:rFonts w:hint="eastAsia"/>
              </w:rPr>
              <w:t>安全水分以下，4℃冷藏避光密封保存</w:t>
            </w:r>
          </w:p>
        </w:tc>
      </w:tr>
    </w:tbl>
    <w:p w14:paraId="37F7C3C8">
      <w:pPr>
        <w:pStyle w:val="56"/>
        <w:ind w:firstLine="420"/>
      </w:pPr>
    </w:p>
    <w:p w14:paraId="5D618437">
      <w:pPr>
        <w:pStyle w:val="56"/>
        <w:ind w:firstLine="420"/>
      </w:pPr>
    </w:p>
    <w:p w14:paraId="5A876C2F">
      <w:pPr>
        <w:pStyle w:val="56"/>
        <w:ind w:firstLine="420"/>
        <w:sectPr>
          <w:headerReference r:id="rId19" w:type="default"/>
          <w:footerReference r:id="rId21" w:type="default"/>
          <w:headerReference r:id="rId20" w:type="even"/>
          <w:footerReference r:id="rId22" w:type="even"/>
          <w:pgSz w:w="11906" w:h="16838"/>
          <w:pgMar w:top="2410" w:right="1134" w:bottom="1134" w:left="1134" w:header="1418" w:footer="1134" w:gutter="284"/>
          <w:cols w:space="425" w:num="1"/>
          <w:formProt w:val="0"/>
          <w:docGrid w:linePitch="312" w:charSpace="0"/>
        </w:sectPr>
      </w:pPr>
    </w:p>
    <w:p w14:paraId="44A62F6D">
      <w:pPr>
        <w:pStyle w:val="198"/>
        <w:rPr>
          <w:rFonts w:hint="eastAsia"/>
          <w:vanish w:val="0"/>
        </w:rPr>
      </w:pPr>
    </w:p>
    <w:p w14:paraId="094C46CC">
      <w:pPr>
        <w:pStyle w:val="199"/>
        <w:rPr>
          <w:vanish w:val="0"/>
        </w:rPr>
      </w:pPr>
    </w:p>
    <w:p w14:paraId="4B7A572C">
      <w:pPr>
        <w:pStyle w:val="76"/>
        <w:spacing w:before="60" w:after="120"/>
      </w:pPr>
      <w:r>
        <w:br w:type="textWrapping"/>
      </w:r>
      <w:r>
        <w:rPr>
          <w:rFonts w:hint="eastAsia"/>
        </w:rPr>
        <w:t>（资料性）</w:t>
      </w:r>
      <w:r>
        <w:br w:type="textWrapping"/>
      </w:r>
      <w:r>
        <w:rPr>
          <w:rFonts w:hint="eastAsia"/>
        </w:rPr>
        <w:t>挥发性风味物质快速鉴定规程</w:t>
      </w:r>
    </w:p>
    <w:p w14:paraId="542EFD10">
      <w:pPr>
        <w:pStyle w:val="78"/>
        <w:spacing w:before="120" w:after="120"/>
      </w:pPr>
      <w:r>
        <w:rPr>
          <w:rFonts w:hint="eastAsia"/>
        </w:rPr>
        <w:t>原理</w:t>
      </w:r>
    </w:p>
    <w:p w14:paraId="29AF2847">
      <w:pPr>
        <w:pStyle w:val="56"/>
        <w:ind w:firstLine="420"/>
      </w:pPr>
      <w:r>
        <w:rPr>
          <w:rFonts w:hint="eastAsia"/>
        </w:rPr>
        <w:t>在一定温度条件下，顶空瓶内样品经过加热处理形成熟化产品，其挥发性组分向上空间挥发，产生蒸气压，在气-固二相达到热力学动态平衡时，其物质组成和浓度在两相基本保持一致，再采用固相微萃取纤维头对气相部分物质进行吸附萃取，通过进样口解析后进行色谱分离，然后再通过质谱仪进行物质定性分析，并采用内标相对含量法对风味挥发物质进行相对含量测定。</w:t>
      </w:r>
    </w:p>
    <w:p w14:paraId="3FA900FD">
      <w:pPr>
        <w:pStyle w:val="78"/>
        <w:spacing w:before="120" w:after="120"/>
      </w:pPr>
      <w:r>
        <w:rPr>
          <w:rFonts w:hint="eastAsia"/>
        </w:rPr>
        <w:t>试剂和材料</w:t>
      </w:r>
    </w:p>
    <w:p w14:paraId="5197B18A">
      <w:pPr>
        <w:pStyle w:val="212"/>
      </w:pPr>
      <w:r>
        <w:rPr>
          <w:rFonts w:hint="eastAsia"/>
        </w:rPr>
        <w:t>水：GB/T 6682 规定的一级水。</w:t>
      </w:r>
    </w:p>
    <w:p w14:paraId="4382EDD9">
      <w:pPr>
        <w:pStyle w:val="212"/>
      </w:pPr>
      <w:r>
        <w:rPr>
          <w:rFonts w:hint="eastAsia"/>
        </w:rPr>
        <w:t>氯化钠：分析纯。</w:t>
      </w:r>
    </w:p>
    <w:p w14:paraId="10EB7B32">
      <w:pPr>
        <w:pStyle w:val="212"/>
      </w:pPr>
      <w:r>
        <w:rPr>
          <w:rFonts w:hint="eastAsia"/>
        </w:rPr>
        <w:t>标准品：C3-C20正构烷烃，纯度≥95%。</w:t>
      </w:r>
    </w:p>
    <w:p w14:paraId="34E1ED14">
      <w:pPr>
        <w:pStyle w:val="212"/>
      </w:pPr>
      <w:r>
        <w:rPr>
          <w:rFonts w:hint="eastAsia"/>
        </w:rPr>
        <w:t>内标物：2,4,6- 三甲基吡啶，纯度≥95%。</w:t>
      </w:r>
    </w:p>
    <w:p w14:paraId="5A50EFC8">
      <w:pPr>
        <w:pStyle w:val="212"/>
      </w:pPr>
      <w:r>
        <w:rPr>
          <w:rFonts w:hint="eastAsia"/>
        </w:rPr>
        <w:t>标准储备溶液（1000 mg/L）：称取约10 mg（精确至0.1 mg）各正构烷烃标准品，用正己烷（B.2.3）溶解并分别定容至10 mL容量瓶中，避光-18 ℃及以下条件保存，有效期1年。</w:t>
      </w:r>
    </w:p>
    <w:p w14:paraId="6E0BAB7D">
      <w:pPr>
        <w:pStyle w:val="212"/>
      </w:pPr>
      <w:r>
        <w:rPr>
          <w:rFonts w:hint="eastAsia"/>
        </w:rPr>
        <w:t>混合标准溶液（10.0 mg/L）：分别准确吸取0.10 mL不同正构烷烃的标准储备溶液（B.2.5）于同一个10 mL容量瓶中，用正己烷稀释并定容至刻度，避光-18 ℃及以下条件保存，有效期3个月。根据需要，系列稀释混合标准工作液，使用前临时配制。</w:t>
      </w:r>
    </w:p>
    <w:p w14:paraId="50BEC076">
      <w:pPr>
        <w:pStyle w:val="212"/>
      </w:pPr>
      <w:r>
        <w:rPr>
          <w:rFonts w:hint="eastAsia"/>
        </w:rPr>
        <w:t>内标储备溶液（1000 mg/L）：称取约10 mg（精确至 0.1 mg）2,4,6-三甲基吡啶标准品，用正己烷溶解并分别定容至10 mL容量瓶中，避光-18 ℃及以下条件保存，有效期1年。</w:t>
      </w:r>
    </w:p>
    <w:p w14:paraId="40EA57FE">
      <w:pPr>
        <w:pStyle w:val="212"/>
      </w:pPr>
      <w:r>
        <w:rPr>
          <w:rFonts w:hint="eastAsia"/>
        </w:rPr>
        <w:t>内标标准工作液溶液（10.0 mg/L）：准确吸取0.10 mL储备溶液（B.2.7）于同一个10 mL容量瓶中，用正己烷稀释并定容至刻度，避光-18 ℃及以下条件保存，有效期3个月。</w:t>
      </w:r>
    </w:p>
    <w:p w14:paraId="793E7F0A">
      <w:pPr>
        <w:pStyle w:val="78"/>
        <w:spacing w:before="120" w:after="120"/>
      </w:pPr>
      <w:r>
        <w:rPr>
          <w:rFonts w:hint="eastAsia"/>
        </w:rPr>
        <w:t>仪器和设备</w:t>
      </w:r>
    </w:p>
    <w:p w14:paraId="6D9CA5AE">
      <w:pPr>
        <w:pStyle w:val="212"/>
      </w:pPr>
      <w:r>
        <w:rPr>
          <w:rFonts w:hint="eastAsia"/>
        </w:rPr>
        <w:t>气相色谱-串联质谱联用仪：配EI 源，配NIST标准谱库。</w:t>
      </w:r>
    </w:p>
    <w:p w14:paraId="2D8CF893">
      <w:pPr>
        <w:pStyle w:val="212"/>
      </w:pPr>
      <w:r>
        <w:rPr>
          <w:rFonts w:hint="eastAsia"/>
        </w:rPr>
        <w:t>分析天平：感量0.0001 g和感量0.01 g。</w:t>
      </w:r>
    </w:p>
    <w:p w14:paraId="1428FCB1">
      <w:pPr>
        <w:pStyle w:val="212"/>
      </w:pPr>
      <w:r>
        <w:rPr>
          <w:rFonts w:hint="eastAsia"/>
        </w:rPr>
        <w:t>固相微萃取装置。</w:t>
      </w:r>
    </w:p>
    <w:p w14:paraId="0372CB40">
      <w:pPr>
        <w:pStyle w:val="212"/>
      </w:pPr>
      <w:r>
        <w:rPr>
          <w:rFonts w:hint="eastAsia"/>
        </w:rPr>
        <w:t>萃取纤维头：50/30 µm, CAR-DVB-PDMS。</w:t>
      </w:r>
    </w:p>
    <w:p w14:paraId="65EC0B86">
      <w:pPr>
        <w:pStyle w:val="212"/>
      </w:pPr>
      <w:r>
        <w:rPr>
          <w:rFonts w:hint="eastAsia"/>
        </w:rPr>
        <w:t>顶空瓶：20 mL。</w:t>
      </w:r>
    </w:p>
    <w:p w14:paraId="2B82F324">
      <w:pPr>
        <w:pStyle w:val="78"/>
        <w:spacing w:before="120" w:after="120"/>
      </w:pPr>
      <w:r>
        <w:rPr>
          <w:rFonts w:hint="eastAsia"/>
        </w:rPr>
        <w:t>样品制备和保存</w:t>
      </w:r>
    </w:p>
    <w:p w14:paraId="59B66F4A">
      <w:pPr>
        <w:pStyle w:val="79"/>
        <w:spacing w:before="120" w:after="120"/>
      </w:pPr>
      <w:r>
        <w:rPr>
          <w:rFonts w:hint="eastAsia"/>
        </w:rPr>
        <w:t>马铃薯</w:t>
      </w:r>
    </w:p>
    <w:p w14:paraId="46D84119">
      <w:pPr>
        <w:pStyle w:val="56"/>
        <w:ind w:firstLine="420"/>
      </w:pPr>
      <w:r>
        <w:rPr>
          <w:rFonts w:hint="eastAsia"/>
        </w:rPr>
        <w:t>按照NY/T 789中有关规定采集样品，将样品切制2 cm×2cm的方块，四分法取样，混匀后，立即进行测定。</w:t>
      </w:r>
    </w:p>
    <w:p w14:paraId="71464667">
      <w:pPr>
        <w:pStyle w:val="79"/>
        <w:spacing w:before="120" w:after="120"/>
      </w:pPr>
      <w:r>
        <w:rPr>
          <w:rFonts w:hint="eastAsia"/>
        </w:rPr>
        <w:t>粳米、小米</w:t>
      </w:r>
    </w:p>
    <w:p w14:paraId="3007D3F5">
      <w:pPr>
        <w:pStyle w:val="56"/>
        <w:ind w:firstLine="420"/>
      </w:pPr>
      <w:r>
        <w:rPr>
          <w:rFonts w:hint="eastAsia"/>
        </w:rPr>
        <w:t>按照GB 5491中有关规定采集样品，将样品清洗干净，待测。</w:t>
      </w:r>
    </w:p>
    <w:p w14:paraId="375B1F44">
      <w:pPr>
        <w:pStyle w:val="78"/>
        <w:spacing w:before="120" w:after="120"/>
      </w:pPr>
      <w:r>
        <w:rPr>
          <w:rFonts w:hint="eastAsia"/>
        </w:rPr>
        <w:t>测定步骤</w:t>
      </w:r>
    </w:p>
    <w:p w14:paraId="3DCB558F">
      <w:pPr>
        <w:pStyle w:val="79"/>
        <w:spacing w:before="120" w:after="120"/>
      </w:pPr>
      <w:r>
        <w:rPr>
          <w:rFonts w:hint="eastAsia"/>
        </w:rPr>
        <w:t>前处理方法</w:t>
      </w:r>
    </w:p>
    <w:p w14:paraId="3C9E3155">
      <w:pPr>
        <w:pStyle w:val="81"/>
        <w:spacing w:before="120" w:after="120"/>
      </w:pPr>
      <w:r>
        <w:rPr>
          <w:rFonts w:hint="eastAsia"/>
        </w:rPr>
        <w:t>马铃薯</w:t>
      </w:r>
    </w:p>
    <w:p w14:paraId="1BD75050">
      <w:pPr>
        <w:pStyle w:val="56"/>
        <w:ind w:firstLine="420"/>
      </w:pPr>
      <w:r>
        <w:rPr>
          <w:rFonts w:hint="eastAsia"/>
        </w:rPr>
        <w:t>称取5 g样品（精确到0.01 g）置于20 mL顶空瓶，加入5 g氯化钠（</w:t>
      </w:r>
      <w:r>
        <w:rPr>
          <w:rFonts w:hint="eastAsia"/>
          <w:lang w:val="en-US" w:eastAsia="zh-CN"/>
        </w:rPr>
        <w:t>B.</w:t>
      </w:r>
      <w:r>
        <w:rPr>
          <w:rFonts w:hint="eastAsia"/>
        </w:rPr>
        <w:t>2.2）和10 µL内标标准工作液</w:t>
      </w:r>
      <w:r>
        <w:rPr>
          <w:rFonts w:hint="eastAsia"/>
          <w:highlight w:val="none"/>
        </w:rPr>
        <w:t>（</w:t>
      </w:r>
      <w:r>
        <w:rPr>
          <w:rFonts w:hint="eastAsia"/>
          <w:highlight w:val="none"/>
          <w:lang w:val="en-US" w:eastAsia="zh-CN"/>
        </w:rPr>
        <w:t>B.2.8</w:t>
      </w:r>
      <w:r>
        <w:rPr>
          <w:rFonts w:hint="eastAsia"/>
          <w:highlight w:val="none"/>
        </w:rPr>
        <w:t>）</w:t>
      </w:r>
      <w:r>
        <w:rPr>
          <w:rFonts w:hint="eastAsia"/>
        </w:rPr>
        <w:t>，混匀后用聚四氟乙烯隔垫密封顶空瓶。然后将顶空瓶放入到固相微萃取仪加热装置中，在90 ℃条件下熟化处理30 min，利用固相微萃取纤维头萃取30 min，在240 ℃进样口解3 min，进入气相色谱质谱分析。</w:t>
      </w:r>
    </w:p>
    <w:p w14:paraId="2E30DD03">
      <w:pPr>
        <w:pStyle w:val="81"/>
        <w:spacing w:before="120" w:after="120"/>
      </w:pPr>
      <w:r>
        <w:rPr>
          <w:rFonts w:hint="eastAsia"/>
        </w:rPr>
        <w:t>粳米</w:t>
      </w:r>
    </w:p>
    <w:p w14:paraId="239B8EAA">
      <w:pPr>
        <w:pStyle w:val="56"/>
        <w:ind w:firstLine="420"/>
      </w:pPr>
      <w:r>
        <w:rPr>
          <w:rFonts w:hint="eastAsia"/>
        </w:rPr>
        <w:t>准确称取2.00（±0.01）g样品于20 mL顶空瓶，加入3.0 mL水（</w:t>
      </w:r>
      <w:r>
        <w:rPr>
          <w:rFonts w:hint="eastAsia"/>
          <w:lang w:val="en-US" w:eastAsia="zh-CN"/>
        </w:rPr>
        <w:t>B.</w:t>
      </w:r>
      <w:r>
        <w:rPr>
          <w:rFonts w:hint="eastAsia"/>
        </w:rPr>
        <w:t>2.1）和2 g氯化钠（</w:t>
      </w:r>
      <w:r>
        <w:rPr>
          <w:rFonts w:hint="eastAsia"/>
          <w:lang w:val="en-US" w:eastAsia="zh-CN"/>
        </w:rPr>
        <w:t>B.</w:t>
      </w:r>
      <w:r>
        <w:rPr>
          <w:rFonts w:hint="eastAsia"/>
        </w:rPr>
        <w:t>2.2），同时加入10 µL内标标准工作液</w:t>
      </w:r>
      <w:r>
        <w:rPr>
          <w:rFonts w:hint="eastAsia"/>
          <w:highlight w:val="none"/>
        </w:rPr>
        <w:t>（</w:t>
      </w:r>
      <w:r>
        <w:rPr>
          <w:rFonts w:hint="eastAsia"/>
          <w:highlight w:val="none"/>
          <w:lang w:val="en-US" w:eastAsia="zh-CN"/>
        </w:rPr>
        <w:t>B.2.8</w:t>
      </w:r>
      <w:r>
        <w:rPr>
          <w:rFonts w:hint="eastAsia"/>
          <w:highlight w:val="none"/>
        </w:rPr>
        <w:t>）</w:t>
      </w:r>
      <w:r>
        <w:rPr>
          <w:rFonts w:hint="eastAsia"/>
        </w:rPr>
        <w:t>，混匀后用聚四氟乙烯隔垫密封顶空瓶。然后将顶空瓶放入到固相微萃取仪加热装置中，在90 ℃条件下平衡30 min，利用固相微萃取纤维头萃取30 min，在240 ℃进样口解3 min，进入气相色谱质谱分析。</w:t>
      </w:r>
    </w:p>
    <w:p w14:paraId="21BCC9AE">
      <w:pPr>
        <w:pStyle w:val="81"/>
        <w:spacing w:before="120" w:after="120"/>
      </w:pPr>
      <w:r>
        <w:rPr>
          <w:rFonts w:hint="eastAsia"/>
        </w:rPr>
        <w:t>小米</w:t>
      </w:r>
    </w:p>
    <w:p w14:paraId="6291DB58">
      <w:pPr>
        <w:pStyle w:val="56"/>
        <w:ind w:firstLine="420"/>
      </w:pPr>
      <w:r>
        <w:rPr>
          <w:rFonts w:hint="eastAsia"/>
        </w:rPr>
        <w:t>准确称取2.00（±0.01）g样品于20 mL顶空瓶，加入4.0 mL水（</w:t>
      </w:r>
      <w:r>
        <w:rPr>
          <w:rFonts w:hint="eastAsia"/>
          <w:lang w:val="en-US" w:eastAsia="zh-CN"/>
        </w:rPr>
        <w:t>B.</w:t>
      </w:r>
      <w:r>
        <w:rPr>
          <w:rFonts w:hint="eastAsia"/>
        </w:rPr>
        <w:t>2.1）和2 g氯化钠（</w:t>
      </w:r>
      <w:r>
        <w:rPr>
          <w:rFonts w:hint="eastAsia"/>
          <w:lang w:val="en-US" w:eastAsia="zh-CN"/>
        </w:rPr>
        <w:t>B.</w:t>
      </w:r>
      <w:r>
        <w:rPr>
          <w:rFonts w:hint="eastAsia"/>
        </w:rPr>
        <w:t>2.2），同时加入10 µL内标标准工作液</w:t>
      </w:r>
      <w:r>
        <w:rPr>
          <w:rFonts w:hint="eastAsia"/>
          <w:highlight w:val="none"/>
        </w:rPr>
        <w:t>（</w:t>
      </w:r>
      <w:r>
        <w:rPr>
          <w:rFonts w:hint="eastAsia"/>
          <w:highlight w:val="none"/>
          <w:lang w:val="en-US" w:eastAsia="zh-CN"/>
        </w:rPr>
        <w:t>B.2.8</w:t>
      </w:r>
      <w:r>
        <w:rPr>
          <w:rFonts w:hint="eastAsia"/>
          <w:highlight w:val="none"/>
        </w:rPr>
        <w:t>）</w:t>
      </w:r>
      <w:r>
        <w:rPr>
          <w:rFonts w:hint="eastAsia"/>
        </w:rPr>
        <w:t>，混匀后用聚四氟乙烯隔垫密封顶空瓶。然后将顶空瓶放入到固相微萃取仪加热装置中，在90 ℃条件下平衡30 min，利用固相微萃取纤维头萃取30 min，在240 ℃进样口解3 min，进入气相色谱质谱分析。</w:t>
      </w:r>
    </w:p>
    <w:p w14:paraId="1098B595">
      <w:pPr>
        <w:pStyle w:val="79"/>
        <w:spacing w:before="120" w:after="120"/>
      </w:pPr>
      <w:r>
        <w:rPr>
          <w:rFonts w:hint="eastAsia"/>
        </w:rPr>
        <w:t>仪器条件</w:t>
      </w:r>
    </w:p>
    <w:p w14:paraId="4D7ADD36">
      <w:pPr>
        <w:pStyle w:val="81"/>
        <w:spacing w:before="120" w:after="120"/>
      </w:pPr>
      <w:r>
        <w:rPr>
          <w:rFonts w:hint="eastAsia"/>
        </w:rPr>
        <w:t>固相微萃取条件</w:t>
      </w:r>
    </w:p>
    <w:p w14:paraId="7D85306A">
      <w:pPr>
        <w:pStyle w:val="56"/>
        <w:ind w:firstLine="420"/>
      </w:pPr>
      <w:r>
        <w:rPr>
          <w:rFonts w:hint="eastAsia"/>
        </w:rPr>
        <w:t>萃取条件应注意以下问题：</w:t>
      </w:r>
    </w:p>
    <w:p w14:paraId="799F3D81">
      <w:pPr>
        <w:pStyle w:val="174"/>
        <w:numPr>
          <w:ilvl w:val="0"/>
          <w:numId w:val="32"/>
        </w:numPr>
      </w:pPr>
      <w:r>
        <w:rPr>
          <w:rFonts w:hint="eastAsia"/>
        </w:rPr>
        <w:t>熟化处理加热温度：90 ℃；</w:t>
      </w:r>
    </w:p>
    <w:p w14:paraId="6D076663">
      <w:pPr>
        <w:pStyle w:val="174"/>
      </w:pPr>
      <w:r>
        <w:rPr>
          <w:rFonts w:hint="eastAsia"/>
        </w:rPr>
        <w:t>熟化处理时间：30 min；</w:t>
      </w:r>
    </w:p>
    <w:p w14:paraId="4FEFCCCA">
      <w:pPr>
        <w:pStyle w:val="174"/>
      </w:pPr>
      <w:r>
        <w:rPr>
          <w:rFonts w:hint="eastAsia"/>
        </w:rPr>
        <w:t>萃取温度：95 ℃；</w:t>
      </w:r>
    </w:p>
    <w:p w14:paraId="3D903FB8">
      <w:pPr>
        <w:pStyle w:val="174"/>
      </w:pPr>
      <w:r>
        <w:rPr>
          <w:rFonts w:hint="eastAsia"/>
        </w:rPr>
        <w:t>萃取时间：30 min；</w:t>
      </w:r>
    </w:p>
    <w:p w14:paraId="61E9439E">
      <w:pPr>
        <w:pStyle w:val="174"/>
      </w:pPr>
      <w:r>
        <w:rPr>
          <w:rFonts w:hint="eastAsia"/>
        </w:rPr>
        <w:t>解析温度：240 ℃；</w:t>
      </w:r>
    </w:p>
    <w:p w14:paraId="4CD3F311">
      <w:pPr>
        <w:pStyle w:val="174"/>
      </w:pPr>
      <w:r>
        <w:rPr>
          <w:rFonts w:hint="eastAsia"/>
        </w:rPr>
        <w:t>解析时间：3 min 。</w:t>
      </w:r>
    </w:p>
    <w:p w14:paraId="7A20B7E0">
      <w:pPr>
        <w:pStyle w:val="81"/>
        <w:spacing w:before="120" w:after="120"/>
      </w:pPr>
      <w:bookmarkStart w:id="40" w:name="_Hlk187154061"/>
      <w:r>
        <w:rPr>
          <w:rFonts w:hint="eastAsia"/>
        </w:rPr>
        <w:t>气相色谱测定</w:t>
      </w:r>
      <w:bookmarkEnd w:id="40"/>
      <w:r>
        <w:rPr>
          <w:rFonts w:hint="eastAsia"/>
        </w:rPr>
        <w:t>条件</w:t>
      </w:r>
    </w:p>
    <w:p w14:paraId="543B115F">
      <w:pPr>
        <w:pStyle w:val="56"/>
        <w:ind w:firstLine="420"/>
      </w:pPr>
      <w:r>
        <w:rPr>
          <w:rFonts w:hint="eastAsia"/>
        </w:rPr>
        <w:t>气相色谱测定注意以下问题：</w:t>
      </w:r>
    </w:p>
    <w:p w14:paraId="7916533B">
      <w:pPr>
        <w:pStyle w:val="174"/>
        <w:numPr>
          <w:ilvl w:val="0"/>
          <w:numId w:val="32"/>
        </w:numPr>
      </w:pPr>
      <w:r>
        <w:rPr>
          <w:rFonts w:hint="eastAsia"/>
        </w:rPr>
        <w:t>色谱柱：HP-5 ms，30.00 m×0.25 mm（内径），粒径0.25 µm毛细管柱，溶剂延迟 2 min。</w:t>
      </w:r>
    </w:p>
    <w:p w14:paraId="688409F3">
      <w:pPr>
        <w:pStyle w:val="174"/>
      </w:pPr>
      <w:r>
        <w:rPr>
          <w:rFonts w:hint="eastAsia"/>
        </w:rPr>
        <w:t>载气条件：载气为高纯氦气，流速1.0 mL/min；</w:t>
      </w:r>
    </w:p>
    <w:p w14:paraId="2C7E9183">
      <w:pPr>
        <w:pStyle w:val="174"/>
      </w:pPr>
      <w:r>
        <w:rPr>
          <w:rFonts w:hint="eastAsia"/>
        </w:rPr>
        <w:t>进样方式：不分流进样，进样量1 µL；</w:t>
      </w:r>
    </w:p>
    <w:p w14:paraId="0EA10717">
      <w:pPr>
        <w:pStyle w:val="174"/>
      </w:pPr>
      <w:r>
        <w:rPr>
          <w:rFonts w:hint="eastAsia"/>
        </w:rPr>
        <w:t>进样口温度：250 ℃；</w:t>
      </w:r>
    </w:p>
    <w:p w14:paraId="5299AF2F">
      <w:pPr>
        <w:pStyle w:val="174"/>
      </w:pPr>
      <w:r>
        <w:rPr>
          <w:rFonts w:hint="eastAsia"/>
        </w:rPr>
        <w:t>柱温箱升温程序：初始温度40 ℃，保持2 min，以5 ℃/min升温至200 ℃，再以10 ℃/min 升温至 260 ℃，保持5 min。</w:t>
      </w:r>
    </w:p>
    <w:p w14:paraId="6CE26FE5">
      <w:pPr>
        <w:pStyle w:val="81"/>
        <w:spacing w:before="120" w:after="120"/>
      </w:pPr>
      <w:r>
        <w:rPr>
          <w:rFonts w:hint="eastAsia"/>
        </w:rPr>
        <w:t>质谱条件</w:t>
      </w:r>
    </w:p>
    <w:p w14:paraId="45EB8B84">
      <w:pPr>
        <w:pStyle w:val="56"/>
        <w:ind w:firstLine="420"/>
      </w:pPr>
      <w:r>
        <w:rPr>
          <w:rFonts w:hint="eastAsia"/>
        </w:rPr>
        <w:t>质谱注意以下问题：</w:t>
      </w:r>
    </w:p>
    <w:p w14:paraId="7854335F">
      <w:pPr>
        <w:pStyle w:val="174"/>
        <w:numPr>
          <w:ilvl w:val="0"/>
          <w:numId w:val="32"/>
        </w:numPr>
      </w:pPr>
      <w:r>
        <w:rPr>
          <w:rFonts w:hint="eastAsia"/>
        </w:rPr>
        <w:t>电离方式：电子轰击离子源（EI），电子能量70 eV；</w:t>
      </w:r>
    </w:p>
    <w:p w14:paraId="5143BD58">
      <w:pPr>
        <w:pStyle w:val="174"/>
      </w:pPr>
      <w:r>
        <w:rPr>
          <w:rFonts w:hint="eastAsia"/>
        </w:rPr>
        <w:t>传输线温度：250 ℃；</w:t>
      </w:r>
    </w:p>
    <w:p w14:paraId="2EC3C04C">
      <w:pPr>
        <w:pStyle w:val="174"/>
      </w:pPr>
      <w:r>
        <w:rPr>
          <w:rFonts w:hint="eastAsia"/>
        </w:rPr>
        <w:t>离子源温度 230 ℃；</w:t>
      </w:r>
    </w:p>
    <w:p w14:paraId="26B4E998">
      <w:pPr>
        <w:pStyle w:val="174"/>
      </w:pPr>
      <w:r>
        <w:rPr>
          <w:rFonts w:hint="eastAsia"/>
        </w:rPr>
        <w:t>四极杆温度 150 ℃；</w:t>
      </w:r>
    </w:p>
    <w:p w14:paraId="057238B9">
      <w:pPr>
        <w:pStyle w:val="174"/>
      </w:pPr>
      <w:r>
        <w:rPr>
          <w:rFonts w:hint="eastAsia"/>
        </w:rPr>
        <w:t>检测方式：质量全扫描模式，扫描质量数从50 m/z～550 m/z。</w:t>
      </w:r>
    </w:p>
    <w:p w14:paraId="09F6D625">
      <w:pPr>
        <w:pStyle w:val="79"/>
        <w:spacing w:before="120" w:after="120"/>
      </w:pPr>
      <w:r>
        <w:rPr>
          <w:rFonts w:hint="eastAsia"/>
        </w:rPr>
        <w:t>定性测定</w:t>
      </w:r>
    </w:p>
    <w:p w14:paraId="627FB514">
      <w:pPr>
        <w:pStyle w:val="56"/>
        <w:ind w:firstLine="420"/>
      </w:pPr>
      <w:r>
        <w:rPr>
          <w:rFonts w:hint="eastAsia"/>
        </w:rPr>
        <w:t>将样品注入气相色谱-串联质谱联用仪，设定自动识别信噪比大于500的色谱峰，利用处理软件进行色谱峰的峰对齐和矫正，对识别到的色谱峰经过NIST标准谱库检索，过滤并保留质谱信息的正向和反向匹配相似度≥800的色谱峰，对过滤后的色谱峰使用按式（B.1）计算各物质的保留指数（KI），保留KI相对误差在±2.0%之内的色谱峰，对筛选后的结果结合人工谱图解析和标样质谱图比对进行化合物定性。</w:t>
      </w:r>
    </w:p>
    <w:p w14:paraId="7527B542">
      <w:pPr>
        <w:pStyle w:val="113"/>
        <w:rPr>
          <w:rFonts w:hint="eastAsia"/>
        </w:rPr>
      </w:pPr>
      <w:r>
        <w:rPr>
          <w:rFonts w:hint="eastAsia"/>
        </w:rPr>
        <w:tab/>
      </w:r>
      <w:r>
        <w:rPr>
          <w:rFonts w:ascii="Times New Roman"/>
          <w:position w:val="-32"/>
        </w:rPr>
        <w:object>
          <v:shape id="_x0000_i1025" o:spt="75" type="#_x0000_t75" style="height:38.05pt;width:196.3pt;" o:ole="t" filled="f" coordsize="21600,21600">
            <v:path/>
            <v:fill on="f" focussize="0,0"/>
            <v:stroke/>
            <v:imagedata r:id="rId37" o:title=""/>
            <o:lock v:ext="edit" aspectratio="t"/>
            <w10:wrap type="none"/>
            <w10:anchorlock/>
          </v:shape>
          <o:OLEObject Type="Embed" ProgID="Equation.3" ShapeID="_x0000_i1025" DrawAspect="Content" ObjectID="_1468075725" r:id="rId36">
            <o:LockedField>false</o:LockedField>
          </o:OLEObject>
        </w:object>
      </w:r>
      <w:r>
        <w:rPr>
          <w:rFonts w:hint="eastAsia" w:ascii="微软雅黑" w:hAnsi="微软雅黑" w:eastAsia="微软雅黑"/>
        </w:rPr>
        <w:tab/>
      </w:r>
      <w:r>
        <w:t>(B.</w:t>
      </w:r>
      <w:r>
        <w:fldChar w:fldCharType="begin"/>
      </w:r>
      <w:r>
        <w:instrText xml:space="preserve"> seq fulu_equation_133808017687659622 </w:instrText>
      </w:r>
      <w:r>
        <w:fldChar w:fldCharType="separate"/>
      </w:r>
      <w:r>
        <w:rPr>
          <w:rFonts w:hint="eastAsia"/>
        </w:rPr>
        <w:t>1</w:t>
      </w:r>
      <w:r>
        <w:rPr>
          <w:rFonts w:hint="eastAsia"/>
        </w:rPr>
        <w:fldChar w:fldCharType="end"/>
      </w:r>
      <w:r>
        <w:t>)</w:t>
      </w:r>
    </w:p>
    <w:p w14:paraId="3AD60BEE">
      <w:pPr>
        <w:pStyle w:val="55"/>
        <w:ind w:firstLine="420"/>
      </w:pPr>
      <w:r>
        <w:rPr>
          <w:rFonts w:hint="eastAsia"/>
        </w:rPr>
        <w:t>式中：</w:t>
      </w:r>
    </w:p>
    <w:p w14:paraId="739B17FD">
      <w:pPr>
        <w:pStyle w:val="56"/>
        <w:ind w:firstLine="420"/>
      </w:pPr>
      <w:r>
        <w:rPr>
          <w:rFonts w:hint="eastAsia"/>
          <w:i/>
          <w:iCs/>
        </w:rPr>
        <w:t>KI</w:t>
      </w:r>
      <w:r>
        <w:rPr>
          <w:rFonts w:hint="eastAsia"/>
          <w:i/>
          <w:iCs/>
          <w:vertAlign w:val="subscript"/>
        </w:rPr>
        <w:t>x</w:t>
      </w:r>
      <w:r>
        <w:rPr>
          <w:rFonts w:hint="eastAsia"/>
        </w:rPr>
        <w:t>——样品中某种挥发性物质的保留指数，</w:t>
      </w:r>
    </w:p>
    <w:p w14:paraId="1FF44A3F">
      <w:pPr>
        <w:pStyle w:val="56"/>
        <w:ind w:firstLine="420"/>
      </w:pPr>
      <w:r>
        <w:rPr>
          <w:rFonts w:hint="eastAsia"/>
          <w:i/>
          <w:iCs/>
        </w:rPr>
        <w:t>t</w:t>
      </w:r>
      <w:r>
        <w:rPr>
          <w:rFonts w:hint="eastAsia"/>
          <w:i/>
          <w:iCs/>
          <w:vertAlign w:val="subscript"/>
        </w:rPr>
        <w:t>x</w:t>
      </w:r>
      <w:r>
        <w:rPr>
          <w:rFonts w:hint="eastAsia"/>
        </w:rPr>
        <w:t xml:space="preserve"> —— 某种挥发性物质的保留时间；</w:t>
      </w:r>
    </w:p>
    <w:p w14:paraId="79D12262">
      <w:pPr>
        <w:pStyle w:val="56"/>
        <w:ind w:firstLine="420"/>
      </w:pPr>
      <w:r>
        <w:rPr>
          <w:rFonts w:hint="eastAsia"/>
          <w:i/>
          <w:iCs/>
        </w:rPr>
        <w:t>t</w:t>
      </w:r>
      <w:r>
        <w:rPr>
          <w:rFonts w:hint="eastAsia"/>
          <w:i/>
          <w:iCs/>
          <w:vertAlign w:val="subscript"/>
        </w:rPr>
        <w:t>z</w:t>
      </w:r>
      <w:r>
        <w:rPr>
          <w:rFonts w:hint="eastAsia"/>
        </w:rPr>
        <w:t>—— 某种挥发性物质碳原子属相同的正构烷烃的保留时间；</w:t>
      </w:r>
    </w:p>
    <w:p w14:paraId="02EF7D9B">
      <w:pPr>
        <w:pStyle w:val="56"/>
        <w:ind w:firstLine="420"/>
      </w:pPr>
      <w:r>
        <w:rPr>
          <w:rFonts w:hint="eastAsia"/>
          <w:i/>
          <w:iCs/>
        </w:rPr>
        <w:t>z</w:t>
      </w:r>
      <w:r>
        <w:rPr>
          <w:rFonts w:hint="eastAsia"/>
        </w:rPr>
        <w:t xml:space="preserve"> —— 挥发性物质的碳原子数。</w:t>
      </w:r>
    </w:p>
    <w:p w14:paraId="71BFD621">
      <w:pPr>
        <w:pStyle w:val="79"/>
        <w:spacing w:before="120" w:after="120"/>
      </w:pPr>
      <w:r>
        <w:rPr>
          <w:rFonts w:hint="eastAsia"/>
        </w:rPr>
        <w:t>定量测定</w:t>
      </w:r>
    </w:p>
    <w:p w14:paraId="02E2AAB3">
      <w:pPr>
        <w:pStyle w:val="56"/>
        <w:ind w:firstLine="420"/>
      </w:pPr>
      <w:r>
        <w:rPr>
          <w:rFonts w:hint="eastAsia"/>
        </w:rPr>
        <w:t>样品中定性得到的物质通过内标法，可按式（B.2）进行计算：</w:t>
      </w:r>
    </w:p>
    <w:p w14:paraId="0B0A7CDD">
      <w:pPr>
        <w:pStyle w:val="113"/>
        <w:rPr>
          <w:rFonts w:hint="eastAsia"/>
        </w:rPr>
      </w:pPr>
      <w:r>
        <w:rPr>
          <w:rFonts w:hint="eastAsia"/>
        </w:rPr>
        <w:tab/>
      </w:r>
      <w:r>
        <w:rPr>
          <w:rFonts w:hint="eastAsia" w:asciiTheme="majorEastAsia" w:hAnsiTheme="majorEastAsia" w:eastAsiaTheme="majorEastAsia" w:cstheme="majorEastAsia"/>
          <w:position w:val="-30"/>
        </w:rPr>
        <w:object>
          <v:shape id="_x0000_i1026" o:spt="75" type="#_x0000_t75" style="height:33.95pt;width:99.85pt;" o:ole="t" filled="f" coordsize="21600,21600">
            <v:path/>
            <v:fill on="f" focussize="0,0"/>
            <v:stroke/>
            <v:imagedata r:id="rId39" o:title=""/>
            <o:lock v:ext="edit" aspectratio="t"/>
            <w10:wrap type="none"/>
            <w10:anchorlock/>
          </v:shape>
          <o:OLEObject Type="Embed" ProgID="Equation.3" ShapeID="_x0000_i1026" DrawAspect="Content" ObjectID="_1468075726" r:id="rId38">
            <o:LockedField>false</o:LockedField>
          </o:OLEObject>
        </w:object>
      </w:r>
      <w:r>
        <w:rPr>
          <w:rFonts w:hint="eastAsia" w:ascii="微软雅黑" w:hAnsi="微软雅黑" w:eastAsia="微软雅黑"/>
        </w:rPr>
        <w:tab/>
      </w:r>
      <w:r>
        <w:t>(B.</w:t>
      </w:r>
      <w:r>
        <w:fldChar w:fldCharType="begin"/>
      </w:r>
      <w:r>
        <w:instrText xml:space="preserve">  seq fulu_equation_133808017687659622  </w:instrText>
      </w:r>
      <w:r>
        <w:fldChar w:fldCharType="separate"/>
      </w:r>
      <w:r>
        <w:rPr>
          <w:rFonts w:hint="eastAsia"/>
        </w:rPr>
        <w:t>2</w:t>
      </w:r>
      <w:r>
        <w:rPr>
          <w:rFonts w:hint="eastAsia"/>
        </w:rPr>
        <w:fldChar w:fldCharType="end"/>
      </w:r>
      <w:r>
        <w:t>)</w:t>
      </w:r>
    </w:p>
    <w:p w14:paraId="1A251E3A">
      <w:pPr>
        <w:pStyle w:val="55"/>
        <w:ind w:firstLine="420"/>
      </w:pPr>
      <w:r>
        <w:rPr>
          <w:rFonts w:hint="eastAsia"/>
        </w:rPr>
        <w:t>式中：</w:t>
      </w:r>
    </w:p>
    <w:p w14:paraId="1E057739">
      <w:pPr>
        <w:pStyle w:val="56"/>
        <w:ind w:firstLine="420"/>
      </w:pPr>
      <w:r>
        <w:rPr>
          <w:rFonts w:hint="eastAsia"/>
        </w:rPr>
        <w:t>Σ</w:t>
      </w:r>
      <w:r>
        <w:rPr>
          <w:rFonts w:hint="eastAsia"/>
          <w:i/>
          <w:iCs/>
        </w:rPr>
        <w:t>ω</w:t>
      </w:r>
      <w:r>
        <w:rPr>
          <w:rFonts w:hint="eastAsia"/>
          <w:i/>
          <w:iCs/>
          <w:vertAlign w:val="subscript"/>
        </w:rPr>
        <w:t>i</w:t>
      </w:r>
      <w:r>
        <w:rPr>
          <w:rFonts w:hint="eastAsia"/>
        </w:rPr>
        <w:t xml:space="preserve"> ——样品中物质总含量，mg/kg。</w:t>
      </w:r>
    </w:p>
    <w:p w14:paraId="52BB7C8E">
      <w:pPr>
        <w:pStyle w:val="56"/>
        <w:ind w:firstLine="420"/>
      </w:pPr>
      <w:r>
        <w:rPr>
          <w:rFonts w:hint="eastAsia"/>
          <w:i/>
          <w:iCs/>
        </w:rPr>
        <w:t>ω</w:t>
      </w:r>
      <w:r>
        <w:rPr>
          <w:rFonts w:hint="eastAsia"/>
          <w:i/>
          <w:iCs/>
          <w:vertAlign w:val="subscript"/>
        </w:rPr>
        <w:t>i</w:t>
      </w:r>
      <w:r>
        <w:rPr>
          <w:rFonts w:hint="eastAsia"/>
          <w:i/>
          <w:iCs/>
        </w:rPr>
        <w:t xml:space="preserve"> </w:t>
      </w:r>
      <w:r>
        <w:rPr>
          <w:rFonts w:hint="eastAsia"/>
        </w:rPr>
        <w:t>——样品中某种物质的含量，mg/kg。</w:t>
      </w:r>
    </w:p>
    <w:p w14:paraId="7DA62BEC">
      <w:pPr>
        <w:pStyle w:val="56"/>
        <w:ind w:firstLine="420"/>
      </w:pPr>
      <w:r>
        <w:rPr>
          <w:rFonts w:hint="eastAsia"/>
          <w:i/>
          <w:iCs/>
        </w:rPr>
        <w:t>f</w:t>
      </w:r>
      <w:r>
        <w:rPr>
          <w:rFonts w:hint="eastAsia"/>
        </w:rPr>
        <w:t xml:space="preserve"> ——校正因子为 1；</w:t>
      </w:r>
    </w:p>
    <w:p w14:paraId="6AF002DB">
      <w:pPr>
        <w:pStyle w:val="56"/>
        <w:ind w:firstLine="420"/>
      </w:pPr>
      <w:r>
        <w:rPr>
          <w:rFonts w:hint="eastAsia"/>
          <w:i/>
          <w:iCs/>
        </w:rPr>
        <w:t>A</w:t>
      </w:r>
      <w:r>
        <w:rPr>
          <w:rFonts w:hint="eastAsia"/>
          <w:i/>
          <w:iCs/>
          <w:vertAlign w:val="subscript"/>
        </w:rPr>
        <w:t>i</w:t>
      </w:r>
      <w:r>
        <w:rPr>
          <w:rFonts w:hint="eastAsia"/>
          <w:i/>
          <w:iCs/>
        </w:rPr>
        <w:t xml:space="preserve"> </w:t>
      </w:r>
      <w:r>
        <w:rPr>
          <w:rFonts w:hint="eastAsia"/>
        </w:rPr>
        <w:t>——样品中某种物质的峰面积；</w:t>
      </w:r>
    </w:p>
    <w:p w14:paraId="14AA6ACC">
      <w:pPr>
        <w:pStyle w:val="56"/>
        <w:ind w:firstLine="420"/>
      </w:pPr>
      <w:r>
        <w:rPr>
          <w:rFonts w:hint="eastAsia"/>
          <w:i/>
          <w:iCs/>
        </w:rPr>
        <w:t>A</w:t>
      </w:r>
      <w:r>
        <w:rPr>
          <w:rFonts w:hint="eastAsia"/>
          <w:i/>
          <w:iCs/>
          <w:vertAlign w:val="subscript"/>
        </w:rPr>
        <w:t>is</w:t>
      </w:r>
      <w:r>
        <w:rPr>
          <w:rFonts w:hint="eastAsia"/>
        </w:rPr>
        <w:t xml:space="preserve"> ——样品中内标物的峰面积；</w:t>
      </w:r>
    </w:p>
    <w:p w14:paraId="68CFC27D">
      <w:pPr>
        <w:pStyle w:val="56"/>
        <w:ind w:firstLine="420"/>
      </w:pPr>
      <w:r>
        <w:rPr>
          <w:rFonts w:hint="eastAsia"/>
          <w:i/>
          <w:iCs/>
        </w:rPr>
        <w:t>Ρ</w:t>
      </w:r>
      <w:r>
        <w:rPr>
          <w:rFonts w:hint="eastAsia"/>
          <w:i/>
          <w:iCs/>
          <w:vertAlign w:val="subscript"/>
        </w:rPr>
        <w:t>is</w:t>
      </w:r>
      <w:r>
        <w:rPr>
          <w:rFonts w:hint="eastAsia"/>
        </w:rPr>
        <w:t>——内标物质含量，mg/L；</w:t>
      </w:r>
    </w:p>
    <w:p w14:paraId="05651FF6">
      <w:pPr>
        <w:pStyle w:val="56"/>
        <w:ind w:firstLine="420"/>
      </w:pPr>
      <w:r>
        <w:rPr>
          <w:rFonts w:hint="eastAsia"/>
          <w:i/>
          <w:iCs/>
        </w:rPr>
        <w:t>m</w:t>
      </w:r>
      <w:r>
        <w:rPr>
          <w:rFonts w:hint="eastAsia"/>
        </w:rPr>
        <w:t xml:space="preserve"> —— 样品的质量，g；</w:t>
      </w:r>
    </w:p>
    <w:p w14:paraId="1387DF16">
      <w:pPr>
        <w:pStyle w:val="56"/>
        <w:ind w:firstLine="420"/>
      </w:pPr>
      <w:r>
        <w:rPr>
          <w:rFonts w:hint="eastAsia"/>
        </w:rPr>
        <w:t>计算结果应扣除空白值，保留两位有效数字。</w:t>
      </w:r>
    </w:p>
    <w:p w14:paraId="5E8603BD">
      <w:pPr>
        <w:pStyle w:val="78"/>
        <w:spacing w:before="120" w:after="120"/>
      </w:pPr>
      <w:r>
        <w:rPr>
          <w:rFonts w:hint="eastAsia"/>
        </w:rPr>
        <w:t>重复试验</w:t>
      </w:r>
    </w:p>
    <w:p w14:paraId="564A6511">
      <w:pPr>
        <w:pStyle w:val="56"/>
        <w:ind w:firstLine="420"/>
      </w:pPr>
      <w:r>
        <w:rPr>
          <w:rFonts w:hint="eastAsia"/>
        </w:rPr>
        <w:t>按上述步骤，对同一样品进行平行试验。</w:t>
      </w:r>
    </w:p>
    <w:p w14:paraId="7F141D3B">
      <w:pPr>
        <w:pStyle w:val="78"/>
        <w:spacing w:before="120" w:after="120"/>
      </w:pPr>
      <w:r>
        <w:rPr>
          <w:rFonts w:hint="eastAsia"/>
        </w:rPr>
        <w:t>精密度</w:t>
      </w:r>
    </w:p>
    <w:p w14:paraId="667C6B4F">
      <w:pPr>
        <w:pStyle w:val="56"/>
        <w:ind w:firstLine="420"/>
      </w:pPr>
      <w:r>
        <w:rPr>
          <w:rFonts w:hint="eastAsia"/>
        </w:rPr>
        <w:t>在实验室内重复性条件下获得的两次独立测定结果的绝对差值不超过算数平均值20%，在实验室间再现性条件下获得的两次独立测定结果的绝对差值不超过算数平均值的25%。</w:t>
      </w:r>
    </w:p>
    <w:p w14:paraId="1834CE19">
      <w:pPr>
        <w:pStyle w:val="56"/>
        <w:ind w:firstLine="420"/>
      </w:pPr>
    </w:p>
    <w:p w14:paraId="02092058">
      <w:pPr>
        <w:pStyle w:val="56"/>
        <w:ind w:firstLine="420"/>
        <w:sectPr>
          <w:headerReference r:id="rId23" w:type="default"/>
          <w:footerReference r:id="rId25" w:type="default"/>
          <w:headerReference r:id="rId24" w:type="even"/>
          <w:footerReference r:id="rId26" w:type="even"/>
          <w:pgSz w:w="11906" w:h="16838"/>
          <w:pgMar w:top="2410" w:right="1134" w:bottom="1134" w:left="1134" w:header="1418" w:footer="1134" w:gutter="284"/>
          <w:cols w:space="425" w:num="1"/>
          <w:formProt w:val="0"/>
          <w:docGrid w:linePitch="312" w:charSpace="0"/>
        </w:sectPr>
      </w:pPr>
    </w:p>
    <w:p w14:paraId="61822211">
      <w:pPr>
        <w:pStyle w:val="198"/>
        <w:rPr>
          <w:rFonts w:hint="eastAsia"/>
          <w:vanish w:val="0"/>
        </w:rPr>
      </w:pPr>
    </w:p>
    <w:p w14:paraId="77B427DD">
      <w:pPr>
        <w:pStyle w:val="199"/>
        <w:rPr>
          <w:vanish w:val="0"/>
        </w:rPr>
      </w:pPr>
    </w:p>
    <w:p w14:paraId="287F4D60">
      <w:pPr>
        <w:pStyle w:val="76"/>
        <w:spacing w:before="60" w:after="120"/>
      </w:pPr>
      <w:r>
        <w:br w:type="textWrapping"/>
      </w:r>
      <w:r>
        <w:rPr>
          <w:rFonts w:hint="eastAsia"/>
        </w:rPr>
        <w:t>（资料性）</w:t>
      </w:r>
      <w:r>
        <w:br w:type="textWrapping"/>
      </w:r>
      <w:r>
        <w:rPr>
          <w:rFonts w:hint="eastAsia"/>
        </w:rPr>
        <w:t>小米现有分级标准的参考值范围</w:t>
      </w:r>
    </w:p>
    <w:p w14:paraId="27F0F7FA">
      <w:pPr>
        <w:pStyle w:val="56"/>
        <w:ind w:firstLine="420"/>
      </w:pPr>
      <w:r>
        <w:rPr>
          <w:rFonts w:hint="eastAsia"/>
        </w:rPr>
        <w:t>小米现有分级标准的参考值要求见表C.1。</w:t>
      </w:r>
    </w:p>
    <w:p w14:paraId="21442452">
      <w:pPr>
        <w:pStyle w:val="77"/>
        <w:spacing w:before="120" w:after="120"/>
      </w:pPr>
      <w:r>
        <w:rPr>
          <w:rFonts w:hint="eastAsia"/>
        </w:rPr>
        <w:t>小米现有分级标准的参考值要求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2976"/>
        <w:gridCol w:w="3248"/>
      </w:tblGrid>
      <w:tr w14:paraId="379000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shd w:val="clear" w:color="auto" w:fill="auto"/>
          </w:tcPr>
          <w:p w14:paraId="7AC06DC6">
            <w:pPr>
              <w:pStyle w:val="178"/>
            </w:pPr>
            <w:r>
              <w:rPr>
                <w:rFonts w:hint="eastAsia"/>
              </w:rPr>
              <w:t>项目（单位）</w:t>
            </w:r>
          </w:p>
        </w:tc>
        <w:tc>
          <w:tcPr>
            <w:tcW w:w="2976" w:type="dxa"/>
            <w:tcBorders>
              <w:top w:val="single" w:color="auto" w:sz="8" w:space="0"/>
              <w:bottom w:val="single" w:color="auto" w:sz="8" w:space="0"/>
            </w:tcBorders>
            <w:shd w:val="clear" w:color="auto" w:fill="auto"/>
          </w:tcPr>
          <w:p w14:paraId="43403506">
            <w:pPr>
              <w:pStyle w:val="178"/>
            </w:pPr>
            <w:r>
              <w:rPr>
                <w:rFonts w:hint="eastAsia"/>
              </w:rPr>
              <w:t>指标值要求</w:t>
            </w:r>
          </w:p>
        </w:tc>
        <w:tc>
          <w:tcPr>
            <w:tcW w:w="3248" w:type="dxa"/>
            <w:tcBorders>
              <w:top w:val="single" w:color="auto" w:sz="8" w:space="0"/>
              <w:bottom w:val="single" w:color="auto" w:sz="8" w:space="0"/>
            </w:tcBorders>
            <w:shd w:val="clear" w:color="auto" w:fill="auto"/>
            <w:vAlign w:val="center"/>
          </w:tcPr>
          <w:p w14:paraId="113EF6D5">
            <w:pPr>
              <w:pStyle w:val="178"/>
            </w:pPr>
            <w:r>
              <w:rPr>
                <w:rFonts w:hint="eastAsia"/>
              </w:rPr>
              <w:t>来源</w:t>
            </w:r>
          </w:p>
        </w:tc>
      </w:tr>
      <w:tr w14:paraId="198207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shd w:val="clear" w:color="auto" w:fill="auto"/>
          </w:tcPr>
          <w:p w14:paraId="2A5FC9AC">
            <w:pPr>
              <w:pStyle w:val="178"/>
            </w:pPr>
            <w:r>
              <w:rPr>
                <w:rFonts w:hint="eastAsia"/>
              </w:rPr>
              <w:t>脂肪（%）</w:t>
            </w:r>
          </w:p>
        </w:tc>
        <w:tc>
          <w:tcPr>
            <w:tcW w:w="2976" w:type="dxa"/>
            <w:tcBorders>
              <w:top w:val="single" w:color="auto" w:sz="8" w:space="0"/>
            </w:tcBorders>
            <w:shd w:val="clear" w:color="auto" w:fill="auto"/>
          </w:tcPr>
          <w:p w14:paraId="37C88D1F">
            <w:pPr>
              <w:pStyle w:val="178"/>
            </w:pPr>
            <w:r>
              <w:rPr>
                <w:rFonts w:hint="eastAsia"/>
              </w:rPr>
              <w:t>2.0～4.0</w:t>
            </w:r>
          </w:p>
        </w:tc>
        <w:tc>
          <w:tcPr>
            <w:tcW w:w="3248" w:type="dxa"/>
            <w:tcBorders>
              <w:top w:val="single" w:color="auto" w:sz="8" w:space="0"/>
            </w:tcBorders>
            <w:shd w:val="clear" w:color="auto" w:fill="auto"/>
            <w:vAlign w:val="center"/>
          </w:tcPr>
          <w:p w14:paraId="23DABC99">
            <w:pPr>
              <w:pStyle w:val="178"/>
            </w:pPr>
            <w:r>
              <w:rPr>
                <w:rFonts w:hint="eastAsia"/>
              </w:rPr>
              <w:t>按照</w:t>
            </w:r>
            <w:r>
              <w:rPr>
                <w:rFonts w:hint="eastAsia" w:hAnsi="宋体" w:cs="宋体"/>
                <w:szCs w:val="18"/>
              </w:rPr>
              <w:t>NY/T 893-2021</w:t>
            </w:r>
            <w:r>
              <w:rPr>
                <w:rFonts w:hint="eastAsia"/>
              </w:rPr>
              <w:t>中表3规定的执行</w:t>
            </w:r>
          </w:p>
        </w:tc>
      </w:tr>
      <w:tr w14:paraId="61AF2B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2C611CBB">
            <w:pPr>
              <w:pStyle w:val="178"/>
            </w:pPr>
            <w:r>
              <w:rPr>
                <w:rFonts w:hint="eastAsia"/>
              </w:rPr>
              <w:t>淀粉（%）</w:t>
            </w:r>
          </w:p>
        </w:tc>
        <w:tc>
          <w:tcPr>
            <w:tcW w:w="2976" w:type="dxa"/>
            <w:shd w:val="clear" w:color="auto" w:fill="auto"/>
          </w:tcPr>
          <w:p w14:paraId="2497F047">
            <w:pPr>
              <w:pStyle w:val="178"/>
            </w:pPr>
            <w:r>
              <w:rPr>
                <w:rFonts w:hint="eastAsia"/>
              </w:rPr>
              <w:t>≧75.0</w:t>
            </w:r>
          </w:p>
        </w:tc>
        <w:tc>
          <w:tcPr>
            <w:tcW w:w="3248" w:type="dxa"/>
            <w:shd w:val="clear" w:color="auto" w:fill="auto"/>
          </w:tcPr>
          <w:p w14:paraId="73E98C10">
            <w:pPr>
              <w:pStyle w:val="178"/>
            </w:pPr>
            <w:r>
              <w:rPr>
                <w:rFonts w:hint="eastAsia"/>
              </w:rPr>
              <w:t>按照</w:t>
            </w:r>
            <w:r>
              <w:rPr>
                <w:rFonts w:hAnsi="宋体" w:cs="宋体"/>
                <w:szCs w:val="18"/>
              </w:rPr>
              <w:t>DB15/T 965-2016</w:t>
            </w:r>
            <w:r>
              <w:rPr>
                <w:rFonts w:hint="eastAsia"/>
              </w:rPr>
              <w:t>中表2规定的执行</w:t>
            </w:r>
          </w:p>
        </w:tc>
      </w:tr>
      <w:tr w14:paraId="41F436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18232C34">
            <w:pPr>
              <w:pStyle w:val="178"/>
            </w:pPr>
            <w:r>
              <w:rPr>
                <w:rFonts w:hint="eastAsia"/>
              </w:rPr>
              <w:t>直链淀粉（%）</w:t>
            </w:r>
          </w:p>
        </w:tc>
        <w:tc>
          <w:tcPr>
            <w:tcW w:w="2976" w:type="dxa"/>
            <w:shd w:val="clear" w:color="auto" w:fill="auto"/>
          </w:tcPr>
          <w:p w14:paraId="186394AB">
            <w:pPr>
              <w:pStyle w:val="178"/>
            </w:pPr>
            <w:r>
              <w:rPr>
                <w:rFonts w:hint="eastAsia"/>
              </w:rPr>
              <w:t>14～20</w:t>
            </w:r>
          </w:p>
        </w:tc>
        <w:tc>
          <w:tcPr>
            <w:tcW w:w="3248" w:type="dxa"/>
            <w:shd w:val="clear" w:color="auto" w:fill="auto"/>
          </w:tcPr>
          <w:p w14:paraId="3F4B2C6D">
            <w:pPr>
              <w:pStyle w:val="178"/>
            </w:pPr>
            <w:r>
              <w:rPr>
                <w:rFonts w:hint="eastAsia"/>
              </w:rPr>
              <w:t>按照</w:t>
            </w:r>
            <w:r>
              <w:rPr>
                <w:rFonts w:hint="eastAsia" w:hAnsi="宋体" w:cs="宋体"/>
                <w:szCs w:val="18"/>
              </w:rPr>
              <w:t>GB/T 19503-2008</w:t>
            </w:r>
            <w:r>
              <w:rPr>
                <w:rFonts w:hint="eastAsia"/>
              </w:rPr>
              <w:t>中表2规定的执行</w:t>
            </w:r>
          </w:p>
        </w:tc>
      </w:tr>
      <w:tr w14:paraId="1D3FD1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50D4069B">
            <w:pPr>
              <w:pStyle w:val="178"/>
            </w:pPr>
            <w:r>
              <w:rPr>
                <w:rFonts w:hint="eastAsia"/>
              </w:rPr>
              <w:t>维生素E（mg/100g）</w:t>
            </w:r>
          </w:p>
        </w:tc>
        <w:tc>
          <w:tcPr>
            <w:tcW w:w="2976" w:type="dxa"/>
            <w:shd w:val="clear" w:color="auto" w:fill="auto"/>
          </w:tcPr>
          <w:p w14:paraId="710E51F4">
            <w:pPr>
              <w:pStyle w:val="178"/>
            </w:pPr>
            <w:r>
              <w:rPr>
                <w:rFonts w:hint="eastAsia"/>
              </w:rPr>
              <w:t>≧0.7</w:t>
            </w:r>
          </w:p>
        </w:tc>
        <w:tc>
          <w:tcPr>
            <w:tcW w:w="3248" w:type="dxa"/>
            <w:shd w:val="clear" w:color="auto" w:fill="auto"/>
          </w:tcPr>
          <w:p w14:paraId="4D6B0230">
            <w:pPr>
              <w:pStyle w:val="178"/>
            </w:pPr>
            <w:r>
              <w:rPr>
                <w:rFonts w:hint="eastAsia"/>
              </w:rPr>
              <w:t>按照</w:t>
            </w:r>
            <w:r>
              <w:rPr>
                <w:rFonts w:hAnsi="宋体" w:cs="宋体"/>
                <w:szCs w:val="18"/>
              </w:rPr>
              <w:t>DB15/T 1737-2019</w:t>
            </w:r>
            <w:r>
              <w:rPr>
                <w:rFonts w:hint="eastAsia"/>
              </w:rPr>
              <w:t>中表3规定的执行</w:t>
            </w:r>
          </w:p>
        </w:tc>
      </w:tr>
      <w:tr w14:paraId="6A6F96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345D30FF">
            <w:pPr>
              <w:pStyle w:val="178"/>
            </w:pPr>
            <w:r>
              <w:rPr>
                <w:rFonts w:hint="eastAsia"/>
              </w:rPr>
              <w:t>维生素B1（mg/100g）</w:t>
            </w:r>
          </w:p>
        </w:tc>
        <w:tc>
          <w:tcPr>
            <w:tcW w:w="2976" w:type="dxa"/>
            <w:shd w:val="clear" w:color="auto" w:fill="auto"/>
          </w:tcPr>
          <w:p w14:paraId="762D8678">
            <w:pPr>
              <w:pStyle w:val="178"/>
            </w:pPr>
            <w:r>
              <w:rPr>
                <w:rFonts w:hint="eastAsia"/>
              </w:rPr>
              <w:t>≧0.3</w:t>
            </w:r>
          </w:p>
        </w:tc>
        <w:tc>
          <w:tcPr>
            <w:tcW w:w="3248" w:type="dxa"/>
            <w:shd w:val="clear" w:color="auto" w:fill="auto"/>
          </w:tcPr>
          <w:p w14:paraId="4B8C8FA5">
            <w:pPr>
              <w:pStyle w:val="178"/>
            </w:pPr>
            <w:r>
              <w:rPr>
                <w:rFonts w:hint="eastAsia"/>
              </w:rPr>
              <w:t>按照</w:t>
            </w:r>
            <w:r>
              <w:rPr>
                <w:rFonts w:hint="eastAsia" w:hAnsi="宋体" w:cs="宋体"/>
                <w:szCs w:val="18"/>
              </w:rPr>
              <w:t>DB15/T 1737-2019</w:t>
            </w:r>
            <w:r>
              <w:rPr>
                <w:rFonts w:hint="eastAsia"/>
              </w:rPr>
              <w:t>中表3规定的执行</w:t>
            </w:r>
          </w:p>
        </w:tc>
      </w:tr>
      <w:tr w14:paraId="29C76F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shd w:val="clear" w:color="auto" w:fill="auto"/>
          </w:tcPr>
          <w:p w14:paraId="55DCDDF2">
            <w:pPr>
              <w:pStyle w:val="178"/>
            </w:pPr>
            <w:r>
              <w:rPr>
                <w:rFonts w:hint="eastAsia"/>
              </w:rPr>
              <w:t>胶稠度（mm）</w:t>
            </w:r>
          </w:p>
        </w:tc>
        <w:tc>
          <w:tcPr>
            <w:tcW w:w="2976" w:type="dxa"/>
            <w:shd w:val="clear" w:color="auto" w:fill="auto"/>
          </w:tcPr>
          <w:p w14:paraId="153B699A">
            <w:pPr>
              <w:pStyle w:val="178"/>
            </w:pPr>
            <w:r>
              <w:rPr>
                <w:rFonts w:hint="eastAsia"/>
              </w:rPr>
              <w:t>100</w:t>
            </w:r>
          </w:p>
        </w:tc>
        <w:tc>
          <w:tcPr>
            <w:tcW w:w="3248" w:type="dxa"/>
            <w:shd w:val="clear" w:color="auto" w:fill="auto"/>
          </w:tcPr>
          <w:p w14:paraId="234F06DF">
            <w:pPr>
              <w:pStyle w:val="178"/>
            </w:pPr>
            <w:r>
              <w:rPr>
                <w:rFonts w:hint="eastAsia"/>
              </w:rPr>
              <w:t>按照</w:t>
            </w:r>
            <w:r>
              <w:rPr>
                <w:rFonts w:hint="eastAsia" w:hAnsi="宋体" w:cs="宋体"/>
                <w:szCs w:val="18"/>
              </w:rPr>
              <w:t>GB/T 19503-2008</w:t>
            </w:r>
            <w:r>
              <w:rPr>
                <w:rFonts w:hint="eastAsia"/>
              </w:rPr>
              <w:t>中表2规定的执行</w:t>
            </w:r>
          </w:p>
        </w:tc>
      </w:tr>
    </w:tbl>
    <w:p w14:paraId="2D2A9101">
      <w:pPr>
        <w:pStyle w:val="56"/>
        <w:ind w:firstLine="420"/>
      </w:pPr>
    </w:p>
    <w:p w14:paraId="00B3D63E">
      <w:pPr>
        <w:pStyle w:val="56"/>
        <w:ind w:firstLine="420"/>
      </w:pPr>
    </w:p>
    <w:p w14:paraId="7D55BA32">
      <w:pPr>
        <w:pStyle w:val="56"/>
        <w:ind w:firstLine="420"/>
      </w:pPr>
    </w:p>
    <w:p w14:paraId="08730509">
      <w:pPr>
        <w:pStyle w:val="56"/>
        <w:ind w:firstLine="420"/>
        <w:sectPr>
          <w:headerReference r:id="rId27" w:type="default"/>
          <w:footerReference r:id="rId29" w:type="default"/>
          <w:headerReference r:id="rId28" w:type="even"/>
          <w:footerReference r:id="rId30" w:type="even"/>
          <w:pgSz w:w="11906" w:h="16838"/>
          <w:pgMar w:top="2410" w:right="1134" w:bottom="1134" w:left="1134" w:header="1418" w:footer="1134" w:gutter="284"/>
          <w:cols w:space="425" w:num="1"/>
          <w:formProt w:val="0"/>
          <w:docGrid w:linePitch="312" w:charSpace="0"/>
        </w:sectPr>
      </w:pPr>
    </w:p>
    <w:p w14:paraId="6578B713">
      <w:pPr>
        <w:pStyle w:val="198"/>
        <w:rPr>
          <w:rFonts w:hint="eastAsia"/>
          <w:vanish w:val="0"/>
        </w:rPr>
      </w:pPr>
    </w:p>
    <w:p w14:paraId="661090EA">
      <w:pPr>
        <w:pStyle w:val="199"/>
        <w:rPr>
          <w:vanish w:val="0"/>
        </w:rPr>
      </w:pPr>
    </w:p>
    <w:p w14:paraId="35E71234">
      <w:pPr>
        <w:pStyle w:val="76"/>
        <w:spacing w:before="60" w:after="120"/>
      </w:pPr>
      <w:r>
        <w:br w:type="textWrapping"/>
      </w:r>
      <w:r>
        <w:rPr>
          <w:rFonts w:hint="eastAsia"/>
        </w:rPr>
        <w:t>（资料性）</w:t>
      </w:r>
      <w:r>
        <w:br w:type="textWrapping"/>
      </w:r>
      <w:r>
        <w:rPr>
          <w:rFonts w:hint="eastAsia"/>
        </w:rPr>
        <w:t>内蒙古优势特色农畜产品品质评价报告主要内容框架</w:t>
      </w:r>
    </w:p>
    <w:p w14:paraId="6558A0E0">
      <w:pPr>
        <w:pStyle w:val="78"/>
        <w:spacing w:before="120" w:after="120"/>
      </w:pPr>
      <w:r>
        <w:rPr>
          <w:rFonts w:hint="eastAsia"/>
        </w:rPr>
        <w:t>抽样和调研情况</w:t>
      </w:r>
    </w:p>
    <w:p w14:paraId="14209B07">
      <w:pPr>
        <w:pStyle w:val="78"/>
        <w:spacing w:before="120" w:after="120"/>
      </w:pPr>
      <w:r>
        <w:rPr>
          <w:rFonts w:hint="eastAsia"/>
        </w:rPr>
        <w:t>检测指标及方法</w:t>
      </w:r>
    </w:p>
    <w:p w14:paraId="41E8135D">
      <w:pPr>
        <w:pStyle w:val="212"/>
      </w:pPr>
      <w:r>
        <w:rPr>
          <w:rFonts w:hint="eastAsia"/>
        </w:rPr>
        <w:t>检测指标；</w:t>
      </w:r>
    </w:p>
    <w:p w14:paraId="7F3BBCFC">
      <w:pPr>
        <w:pStyle w:val="212"/>
      </w:pPr>
      <w:r>
        <w:rPr>
          <w:rFonts w:hint="eastAsia"/>
        </w:rPr>
        <w:t>检测方法。</w:t>
      </w:r>
    </w:p>
    <w:p w14:paraId="31CE0676">
      <w:pPr>
        <w:pStyle w:val="78"/>
        <w:spacing w:before="120" w:after="120"/>
      </w:pPr>
      <w:r>
        <w:rPr>
          <w:rFonts w:hint="eastAsia"/>
        </w:rPr>
        <w:t>评价方法及过程</w:t>
      </w:r>
    </w:p>
    <w:p w14:paraId="47DA9A88">
      <w:pPr>
        <w:pStyle w:val="212"/>
      </w:pPr>
      <w:r>
        <w:rPr>
          <w:rFonts w:hint="eastAsia"/>
        </w:rPr>
        <w:t>营养品质指标结果分析和评价；</w:t>
      </w:r>
    </w:p>
    <w:p w14:paraId="2867400E">
      <w:pPr>
        <w:pStyle w:val="212"/>
      </w:pPr>
      <w:r>
        <w:rPr>
          <w:rFonts w:hint="eastAsia"/>
        </w:rPr>
        <w:t>食味品质指标结果分析和评价</w:t>
      </w:r>
      <w:r>
        <w:rPr>
          <w:rFonts w:hint="eastAsia"/>
          <w:lang w:eastAsia="zh-CN"/>
        </w:rPr>
        <w:t>。</w:t>
      </w:r>
    </w:p>
    <w:p w14:paraId="1C111B1A">
      <w:pPr>
        <w:pStyle w:val="78"/>
        <w:spacing w:before="120" w:after="120"/>
      </w:pPr>
      <w:r>
        <w:rPr>
          <w:rFonts w:hint="eastAsia"/>
        </w:rPr>
        <w:t>品质评价结论</w:t>
      </w:r>
    </w:p>
    <w:p w14:paraId="574968E5">
      <w:pPr>
        <w:pStyle w:val="212"/>
      </w:pPr>
      <w:r>
        <w:rPr>
          <w:rFonts w:hint="eastAsia"/>
        </w:rPr>
        <w:t>指标含量范围；</w:t>
      </w:r>
    </w:p>
    <w:p w14:paraId="3649F8BA">
      <w:pPr>
        <w:pStyle w:val="212"/>
      </w:pPr>
      <w:r>
        <w:rPr>
          <w:rFonts w:hint="eastAsia"/>
        </w:rPr>
        <w:t>与同类产品差异性比较情况；</w:t>
      </w:r>
    </w:p>
    <w:p w14:paraId="4ED7C1C0">
      <w:pPr>
        <w:pStyle w:val="212"/>
      </w:pPr>
      <w:r>
        <w:rPr>
          <w:rFonts w:hint="eastAsia"/>
        </w:rPr>
        <w:t>各指标与产地环境相关性情况；</w:t>
      </w:r>
    </w:p>
    <w:p w14:paraId="1AE4B946">
      <w:pPr>
        <w:pStyle w:val="212"/>
      </w:pPr>
      <w:r>
        <w:rPr>
          <w:rFonts w:hint="eastAsia"/>
        </w:rPr>
        <w:t>提出优质指标，确定关键物质或特征成分。</w:t>
      </w:r>
    </w:p>
    <w:p w14:paraId="0C08CB2D">
      <w:pPr>
        <w:pStyle w:val="56"/>
        <w:ind w:firstLine="420"/>
      </w:pPr>
    </w:p>
    <w:p w14:paraId="5AA8C3E7">
      <w:pPr>
        <w:pStyle w:val="56"/>
        <w:ind w:firstLine="420"/>
      </w:pPr>
    </w:p>
    <w:p w14:paraId="4BA87174">
      <w:pPr>
        <w:pStyle w:val="56"/>
        <w:ind w:firstLine="420"/>
      </w:pPr>
    </w:p>
    <w:bookmarkEnd w:id="39"/>
    <w:p w14:paraId="17FE719D">
      <w:pPr>
        <w:pStyle w:val="56"/>
        <w:ind w:firstLine="0" w:firstLineChars="0"/>
        <w:jc w:val="center"/>
      </w:pPr>
      <w:bookmarkStart w:id="41" w:name="BookMark8"/>
      <w:r>
        <w:rPr>
          <w:rFonts w:hint="eastAsia"/>
        </w:rPr>
        <w:drawing>
          <wp:inline distT="0" distB="0" distL="0" distR="0">
            <wp:extent cx="1485900" cy="317500"/>
            <wp:effectExtent l="0" t="0" r="0" b="6350"/>
            <wp:docPr id="967992957" name="图片 1"/>
            <wp:cNvGraphicFramePr/>
            <a:graphic xmlns:a="http://schemas.openxmlformats.org/drawingml/2006/main">
              <a:graphicData uri="http://schemas.openxmlformats.org/drawingml/2006/picture">
                <pic:pic xmlns:pic="http://schemas.openxmlformats.org/drawingml/2006/picture">
                  <pic:nvPicPr>
                    <pic:cNvPr id="967992957" name="图片 1"/>
                    <pic:cNvPicPr/>
                  </pic:nvPicPr>
                  <pic:blipFill>
                    <a:blip r:embed="rId4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headerReference r:id="rId31" w:type="default"/>
      <w:footerReference r:id="rId33" w:type="default"/>
      <w:headerReference r:id="rId32" w:type="even"/>
      <w:footerReference r:id="rId34" w:type="even"/>
      <w:pgSz w:w="11906" w:h="16838"/>
      <w:pgMar w:top="2410"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8556F">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E3F98">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D245F">
    <w:pPr>
      <w:pStyle w:val="51"/>
    </w:pPr>
    <w:r>
      <w:fldChar w:fldCharType="begin"/>
    </w:r>
    <w:r>
      <w:instrText xml:space="preserve"> PAGE   \* MERGEFORMAT \* MERGEFORMAT </w:instrText>
    </w:r>
    <w:r>
      <w:fldChar w:fldCharType="separate"/>
    </w:r>
    <w:r>
      <w:t>10</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A4AC7">
    <w:pPr>
      <w:pStyle w:val="52"/>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6E37E">
    <w:pPr>
      <w:pStyle w:val="51"/>
    </w:pPr>
    <w:r>
      <w:fldChar w:fldCharType="begin"/>
    </w:r>
    <w:r>
      <w:instrText xml:space="preserve"> PAGE   \* MERGEFORMAT \* MERGEFORMAT </w:instrText>
    </w:r>
    <w:r>
      <w:fldChar w:fldCharType="separate"/>
    </w:r>
    <w:r>
      <w:t>9</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737BA">
    <w:pPr>
      <w:pStyle w:val="52"/>
    </w:pPr>
    <w:r>
      <w:fldChar w:fldCharType="begin"/>
    </w:r>
    <w:r>
      <w:instrText xml:space="preserve">PAGE   \* MERGEFORMAT</w:instrText>
    </w:r>
    <w:r>
      <w:fldChar w:fldCharType="separate"/>
    </w:r>
    <w:r>
      <w:rPr>
        <w:lang w:val="zh-CN"/>
      </w:rPr>
      <w:t>1</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DB813">
    <w:pPr>
      <w:pStyle w:val="51"/>
    </w:pPr>
    <w:r>
      <w:fldChar w:fldCharType="begin"/>
    </w:r>
    <w:r>
      <w:instrText xml:space="preserve"> PAGE   \* MERGEFORMAT \* MERGEFORMAT </w:instrText>
    </w:r>
    <w:r>
      <w:fldChar w:fldCharType="separate"/>
    </w:r>
    <w:r>
      <w:t>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DA547">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0A81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12459">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640A2">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4D05A">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88958">
    <w:pPr>
      <w:pStyle w:val="51"/>
    </w:pPr>
    <w:r>
      <w:fldChar w:fldCharType="begin"/>
    </w:r>
    <w:r>
      <w:instrText xml:space="preserve"> PAGE   \* MERGEFORMAT \* MERGEFORMAT </w:instrText>
    </w:r>
    <w:r>
      <w:fldChar w:fldCharType="separate"/>
    </w:r>
    <w:r>
      <w:t>4</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F6DDC">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092D6">
    <w:pPr>
      <w:pStyle w:val="51"/>
    </w:pPr>
    <w:r>
      <w:fldChar w:fldCharType="begin"/>
    </w:r>
    <w:r>
      <w:instrText xml:space="preserve"> PAGE   \* MERGEFORMAT \* MERGEFORMAT </w:instrText>
    </w:r>
    <w:r>
      <w:fldChar w:fldCharType="separate"/>
    </w:r>
    <w: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3EB14">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6FC91">
    <w:pPr>
      <w:pStyle w:val="61"/>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D8C10">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T/XXX XXXX—XXXX</w:t>
    </w:r>
    <w:r>
      <w:rPr>
        <w:rFonts w:hint="eastAsia"/>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D96D4B">
    <w:pPr>
      <w:pStyle w:val="61"/>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65C00">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T/XXX XXXX—XXXX</w:t>
    </w:r>
    <w:r>
      <w:rPr>
        <w:rFonts w:hint="eastAsia"/>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65792">
    <w:pPr>
      <w:pStyle w:val="61"/>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2286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T/XXX XXXX—XXXX</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EF30F">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B413A">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8DC2A">
    <w:pPr>
      <w:pStyle w:val="61"/>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72A03">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T/XXX XXXX—XXXX</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832B8">
    <w:pPr>
      <w:pStyle w:val="61"/>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C7A3D">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T/XXX XXXX—XXXX</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88F2C">
    <w:pPr>
      <w:pStyle w:val="61"/>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EB10D">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T/XXX XXXX—XXXX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E6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175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037C"/>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2C5"/>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0F03"/>
    <w:rsid w:val="004B2701"/>
    <w:rsid w:val="004B2E1B"/>
    <w:rsid w:val="004B3AA8"/>
    <w:rsid w:val="004B3E93"/>
    <w:rsid w:val="004C08A2"/>
    <w:rsid w:val="004C1FBC"/>
    <w:rsid w:val="004C25A2"/>
    <w:rsid w:val="004C2FDB"/>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0027"/>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9F3"/>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6AE"/>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4CC4"/>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3986"/>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050F"/>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005"/>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4069"/>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2A44"/>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73E6"/>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7E6E"/>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1C4"/>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4928"/>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D76FF"/>
    <w:rsid w:val="00FE1FBE"/>
    <w:rsid w:val="00FE3901"/>
    <w:rsid w:val="00FE39D3"/>
    <w:rsid w:val="00FE4BCE"/>
    <w:rsid w:val="00FE54AE"/>
    <w:rsid w:val="00FE576A"/>
    <w:rsid w:val="00FE7E79"/>
    <w:rsid w:val="00FF3E7D"/>
    <w:rsid w:val="00FF5B99"/>
    <w:rsid w:val="00FF730C"/>
    <w:rsid w:val="00FF73F4"/>
    <w:rsid w:val="00FF7CE4"/>
    <w:rsid w:val="00FF7E39"/>
    <w:rsid w:val="05AD2DCF"/>
    <w:rsid w:val="54B85086"/>
    <w:rsid w:val="787A5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uiPriority="39" w:semiHidden="0" w:name="toc 3"/>
    <w:lsdException w:qFormat="1"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uiPriority w:val="0"/>
    <w:rPr>
      <w:rFonts w:ascii="Times New Roman" w:hAnsi="Times New Roman" w:eastAsia="宋体" w:cs="Times New Roman"/>
      <w:b/>
      <w:bCs/>
      <w:kern w:val="44"/>
      <w:sz w:val="44"/>
      <w:szCs w:val="44"/>
    </w:rPr>
  </w:style>
  <w:style w:type="character" w:customStyle="1" w:styleId="35">
    <w:name w:val="标题 2 字符"/>
    <w:link w:val="3"/>
    <w:uiPriority w:val="0"/>
    <w:rPr>
      <w:rFonts w:ascii="Arial" w:hAnsi="Arial" w:eastAsia="黑体" w:cs="Times New Roman"/>
      <w:b/>
      <w:bCs/>
      <w:sz w:val="32"/>
      <w:szCs w:val="32"/>
    </w:rPr>
  </w:style>
  <w:style w:type="character" w:customStyle="1" w:styleId="36">
    <w:name w:val="标题 3 字符"/>
    <w:link w:val="4"/>
    <w:uiPriority w:val="0"/>
    <w:rPr>
      <w:rFonts w:ascii="Times New Roman" w:hAnsi="Times New Roman" w:eastAsia="宋体" w:cs="Times New Roman"/>
      <w:b/>
      <w:bCs/>
      <w:sz w:val="32"/>
      <w:szCs w:val="32"/>
    </w:rPr>
  </w:style>
  <w:style w:type="character" w:customStyle="1" w:styleId="37">
    <w:name w:val="标题 4 字符"/>
    <w:link w:val="5"/>
    <w:uiPriority w:val="0"/>
    <w:rPr>
      <w:rFonts w:ascii="Arial" w:hAnsi="Arial" w:eastAsia="黑体" w:cs="Times New Roman"/>
      <w:b/>
      <w:bCs/>
      <w:sz w:val="28"/>
      <w:szCs w:val="28"/>
    </w:rPr>
  </w:style>
  <w:style w:type="character" w:customStyle="1" w:styleId="38">
    <w:name w:val="标题 5 字符"/>
    <w:link w:val="6"/>
    <w:uiPriority w:val="0"/>
    <w:rPr>
      <w:rFonts w:ascii="Times New Roman" w:hAnsi="Times New Roman" w:eastAsia="宋体" w:cs="Times New Roman"/>
      <w:b/>
      <w:bCs/>
      <w:sz w:val="28"/>
      <w:szCs w:val="28"/>
    </w:rPr>
  </w:style>
  <w:style w:type="character" w:customStyle="1" w:styleId="39">
    <w:name w:val="标题 6 字符"/>
    <w:link w:val="7"/>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5" Type="http://schemas.openxmlformats.org/officeDocument/2006/relationships/glossaryDocument" Target="glossary/document.xml"/><Relationship Id="rId44" Type="http://schemas.openxmlformats.org/officeDocument/2006/relationships/fontTable" Target="fontTable.xml"/><Relationship Id="rId43" Type="http://schemas.openxmlformats.org/officeDocument/2006/relationships/customXml" Target="../customXml/item2.xml"/><Relationship Id="rId42" Type="http://schemas.openxmlformats.org/officeDocument/2006/relationships/numbering" Target="numbering.xml"/><Relationship Id="rId41" Type="http://schemas.openxmlformats.org/officeDocument/2006/relationships/customXml" Target="../customXml/item1.xml"/><Relationship Id="rId40" Type="http://schemas.openxmlformats.org/officeDocument/2006/relationships/image" Target="media/image3.jpeg"/><Relationship Id="rId4" Type="http://schemas.openxmlformats.org/officeDocument/2006/relationships/endnotes" Target="endnotes.xml"/><Relationship Id="rId39" Type="http://schemas.openxmlformats.org/officeDocument/2006/relationships/image" Target="media/image2.wmf"/><Relationship Id="rId38" Type="http://schemas.openxmlformats.org/officeDocument/2006/relationships/oleObject" Target="embeddings/oleObject2.bin"/><Relationship Id="rId37" Type="http://schemas.openxmlformats.org/officeDocument/2006/relationships/image" Target="media/image1.wmf"/><Relationship Id="rId36" Type="http://schemas.openxmlformats.org/officeDocument/2006/relationships/oleObject" Target="embeddings/oleObject1.bin"/><Relationship Id="rId35" Type="http://schemas.openxmlformats.org/officeDocument/2006/relationships/theme" Target="theme/theme1.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1842EB072F742269E98A4AC414F81FA"/>
        <w:style w:val=""/>
        <w:category>
          <w:name w:val="常规"/>
          <w:gallery w:val="placeholder"/>
        </w:category>
        <w:types>
          <w:type w:val="bbPlcHdr"/>
        </w:types>
        <w:behaviors>
          <w:behavior w:val="content"/>
        </w:behaviors>
        <w:description w:val=""/>
        <w:guid w:val="{79FFFEF0-38CE-4048-B890-C1F623BBA9C2}"/>
      </w:docPartPr>
      <w:docPartBody>
        <w:p w14:paraId="3CA193A2">
          <w:pPr>
            <w:pStyle w:val="5"/>
            <w:rPr>
              <w:rFonts w:hint="eastAsia"/>
            </w:rPr>
          </w:pPr>
          <w:r>
            <w:rPr>
              <w:rStyle w:val="4"/>
              <w:rFonts w:hint="eastAsia"/>
            </w:rPr>
            <w:t>单击或点击此处输入文字。</w:t>
          </w:r>
        </w:p>
      </w:docPartBody>
    </w:docPart>
    <w:docPart>
      <w:docPartPr>
        <w:name w:val="52D1282A0C684DA98CDE44848471ED60"/>
        <w:style w:val=""/>
        <w:category>
          <w:name w:val="常规"/>
          <w:gallery w:val="placeholder"/>
        </w:category>
        <w:types>
          <w:type w:val="bbPlcHdr"/>
        </w:types>
        <w:behaviors>
          <w:behavior w:val="content"/>
        </w:behaviors>
        <w:description w:val=""/>
        <w:guid w:val="{9809406A-500E-484A-A5FF-A69B5547E27B}"/>
      </w:docPartPr>
      <w:docPartBody>
        <w:p w14:paraId="16CA3D18">
          <w:pPr>
            <w:pStyle w:val="6"/>
            <w:rPr>
              <w:rFonts w:hint="eastAsia"/>
            </w:rPr>
          </w:pPr>
          <w:r>
            <w:rPr>
              <w:rStyle w:val="4"/>
              <w:rFonts w:hint="eastAsia"/>
            </w:rPr>
            <w:t>选择一项。</w:t>
          </w:r>
        </w:p>
      </w:docPartBody>
    </w:docPart>
    <w:docPart>
      <w:docPartPr>
        <w:name w:val="293B5A0D577048B38C9C44A4090F125B"/>
        <w:style w:val=""/>
        <w:category>
          <w:name w:val="常规"/>
          <w:gallery w:val="placeholder"/>
        </w:category>
        <w:types>
          <w:type w:val="bbPlcHdr"/>
        </w:types>
        <w:behaviors>
          <w:behavior w:val="content"/>
        </w:behaviors>
        <w:description w:val=""/>
        <w:guid w:val="{4540B01F-C0C0-4CA5-B294-176119142852}"/>
      </w:docPartPr>
      <w:docPartBody>
        <w:p w14:paraId="5345FAB6">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ABB"/>
    <w:rsid w:val="0005175D"/>
    <w:rsid w:val="002F59D0"/>
    <w:rsid w:val="00731C7C"/>
    <w:rsid w:val="00D21CA3"/>
    <w:rsid w:val="00E34ABB"/>
    <w:rsid w:val="00EB1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D1842EB072F742269E98A4AC414F81FA"/>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52D1282A0C684DA98CDE44848471ED60"/>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293B5A0D577048B38C9C44A4090F125B"/>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9CF907-54C7-453B-8712-3C64AF8AB54B}">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14</Pages>
  <Words>3727</Words>
  <Characters>4390</Characters>
  <Lines>52</Lines>
  <Paragraphs>14</Paragraphs>
  <TotalTime>4</TotalTime>
  <ScaleCrop>false</ScaleCrop>
  <LinksUpToDate>false</LinksUpToDate>
  <CharactersWithSpaces>4590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2025-01-08T08:22:00Z</dcterms:created>
  <dc:creator>Administrator</dc:creator>
  <dc:description>&lt;config cover="true" show_menu="true" version="1.0.0" doctype="SDKXY"&gt;_x000d_
&lt;/config&gt;</dc:description>
  <cp:lastModifiedBy>水果贩子</cp:lastModifiedBy>
  <cp:lastPrinted>2021-02-02T08:22:00Z</cp:lastPrinted>
  <dcterms:modified xsi:type="dcterms:W3CDTF">2025-01-10T03:09:51Z</dcterms:modified>
  <dc:title>团体标准</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eyJoZGlkIjoiZmM1OTViNzM4NjU1N2M0N2JjZWFjZGIxMzJlZDc5ZGMiLCJ1c2VySWQiOiI1ODkzMDc3MzUifQ==</vt:lpwstr>
  </property>
  <property fmtid="{D5CDD505-2E9C-101B-9397-08002B2CF9AE}" pid="16" name="KSOProductBuildVer">
    <vt:lpwstr>2052-12.1.0.19302</vt:lpwstr>
  </property>
  <property fmtid="{D5CDD505-2E9C-101B-9397-08002B2CF9AE}" pid="17" name="ICV">
    <vt:lpwstr>30170E5E38F64743921DB8F9D80371A2_12</vt:lpwstr>
  </property>
</Properties>
</file>